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3C7C" w14:textId="2A6EA8B5" w:rsidR="002102E2" w:rsidRPr="00BF54DC" w:rsidRDefault="002102E2" w:rsidP="00BF54DC">
      <w:pPr>
        <w:spacing w:after="0" w:line="360" w:lineRule="auto"/>
        <w:jc w:val="center"/>
        <w:rPr>
          <w:rFonts w:ascii="Century Gothic" w:hAnsi="Century Gothic"/>
          <w:b/>
          <w:bCs/>
          <w:sz w:val="24"/>
          <w:szCs w:val="24"/>
        </w:rPr>
      </w:pPr>
      <w:r w:rsidRPr="00BF54DC">
        <w:rPr>
          <w:rFonts w:ascii="Century Gothic" w:hAnsi="Century Gothic"/>
          <w:b/>
          <w:bCs/>
          <w:sz w:val="24"/>
          <w:szCs w:val="24"/>
        </w:rPr>
        <w:t>AFCP 2022 Grants Program</w:t>
      </w:r>
    </w:p>
    <w:p w14:paraId="724AF574" w14:textId="77777777" w:rsidR="002102E2" w:rsidRPr="002102E2" w:rsidRDefault="002102E2" w:rsidP="002102E2">
      <w:pPr>
        <w:spacing w:after="0" w:line="360" w:lineRule="auto"/>
        <w:rPr>
          <w:rFonts w:ascii="Century Gothic" w:hAnsi="Century Gothic"/>
          <w:sz w:val="24"/>
          <w:szCs w:val="24"/>
        </w:rPr>
      </w:pPr>
    </w:p>
    <w:p w14:paraId="60772107" w14:textId="1BD10D4B"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xml:space="preserve">1. Summary: </w:t>
      </w:r>
      <w:r>
        <w:rPr>
          <w:rFonts w:ascii="Century Gothic" w:hAnsi="Century Gothic"/>
          <w:sz w:val="24"/>
          <w:szCs w:val="24"/>
        </w:rPr>
        <w:t>The U.S. Embassy Romania</w:t>
      </w:r>
      <w:r w:rsidR="00F329C1">
        <w:rPr>
          <w:rFonts w:ascii="Century Gothic" w:hAnsi="Century Gothic"/>
          <w:sz w:val="24"/>
          <w:szCs w:val="24"/>
        </w:rPr>
        <w:t xml:space="preserve"> </w:t>
      </w:r>
      <w:r w:rsidR="00F329C1">
        <w:rPr>
          <w:rFonts w:ascii="Century Gothic" w:hAnsi="Century Gothic" w:cs="Times New Roman"/>
          <w:color w:val="000000"/>
          <w:sz w:val="24"/>
          <w:szCs w:val="24"/>
        </w:rPr>
        <w:t xml:space="preserve">and the Cultural Heritage Center (“the Center”) in the Bureau of Educational and Cultural Affairs (ECA) are </w:t>
      </w:r>
      <w:r w:rsidRPr="002102E2">
        <w:rPr>
          <w:rFonts w:ascii="Century Gothic" w:hAnsi="Century Gothic"/>
          <w:sz w:val="24"/>
          <w:szCs w:val="24"/>
        </w:rPr>
        <w:t xml:space="preserve">pleased to announce the start of the U.S. Ambassadors Fund for Cultural Preservation (AFCP) 2022 Grants Program. </w:t>
      </w:r>
    </w:p>
    <w:p w14:paraId="48D72134" w14:textId="77777777" w:rsidR="002102E2" w:rsidRDefault="002102E2" w:rsidP="002102E2">
      <w:pPr>
        <w:spacing w:after="0" w:line="360" w:lineRule="auto"/>
        <w:rPr>
          <w:rFonts w:ascii="Century Gothic" w:hAnsi="Century Gothic"/>
          <w:sz w:val="24"/>
          <w:szCs w:val="24"/>
        </w:rPr>
      </w:pPr>
    </w:p>
    <w:p w14:paraId="24889D25" w14:textId="77777777"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xml:space="preserve">The application process involves two rounds: </w:t>
      </w:r>
    </w:p>
    <w:p w14:paraId="6106FBC9" w14:textId="77777777"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xml:space="preserve">In </w:t>
      </w:r>
      <w:r w:rsidRPr="002102E2">
        <w:rPr>
          <w:rFonts w:ascii="Century Gothic" w:hAnsi="Century Gothic"/>
          <w:b/>
          <w:bCs/>
          <w:sz w:val="24"/>
          <w:szCs w:val="24"/>
        </w:rPr>
        <w:t>Round 1</w:t>
      </w:r>
      <w:r w:rsidRPr="002102E2">
        <w:rPr>
          <w:rFonts w:ascii="Century Gothic" w:hAnsi="Century Gothic"/>
          <w:sz w:val="24"/>
          <w:szCs w:val="24"/>
        </w:rPr>
        <w:t xml:space="preserve">, </w:t>
      </w:r>
      <w:r>
        <w:rPr>
          <w:rFonts w:ascii="Century Gothic" w:hAnsi="Century Gothic"/>
          <w:sz w:val="24"/>
          <w:szCs w:val="24"/>
        </w:rPr>
        <w:t>the Embassy</w:t>
      </w:r>
      <w:r w:rsidRPr="002102E2">
        <w:rPr>
          <w:rFonts w:ascii="Century Gothic" w:hAnsi="Century Gothic"/>
          <w:sz w:val="24"/>
          <w:szCs w:val="24"/>
        </w:rPr>
        <w:t xml:space="preserve"> will collect project ideas in the form of concept notes, due </w:t>
      </w:r>
      <w:r>
        <w:rPr>
          <w:rFonts w:ascii="Century Gothic" w:hAnsi="Century Gothic"/>
          <w:sz w:val="24"/>
          <w:szCs w:val="24"/>
        </w:rPr>
        <w:t xml:space="preserve">Thursday </w:t>
      </w:r>
      <w:r w:rsidRPr="002102E2">
        <w:rPr>
          <w:rFonts w:ascii="Century Gothic" w:hAnsi="Century Gothic"/>
          <w:b/>
          <w:bCs/>
          <w:sz w:val="24"/>
          <w:szCs w:val="24"/>
        </w:rPr>
        <w:t xml:space="preserve">December </w:t>
      </w:r>
      <w:r w:rsidRPr="002102E2">
        <w:rPr>
          <w:rFonts w:ascii="Century Gothic" w:hAnsi="Century Gothic"/>
          <w:b/>
          <w:bCs/>
          <w:sz w:val="24"/>
          <w:szCs w:val="24"/>
        </w:rPr>
        <w:t>9</w:t>
      </w:r>
      <w:r w:rsidRPr="002102E2">
        <w:rPr>
          <w:rFonts w:ascii="Century Gothic" w:hAnsi="Century Gothic"/>
          <w:b/>
          <w:bCs/>
          <w:sz w:val="24"/>
          <w:szCs w:val="24"/>
        </w:rPr>
        <w:t xml:space="preserve">, 2021. </w:t>
      </w:r>
    </w:p>
    <w:p w14:paraId="4A517123" w14:textId="5F8F272F"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xml:space="preserve">In </w:t>
      </w:r>
      <w:r w:rsidRPr="002102E2">
        <w:rPr>
          <w:rFonts w:ascii="Century Gothic" w:hAnsi="Century Gothic"/>
          <w:b/>
          <w:bCs/>
          <w:sz w:val="24"/>
          <w:szCs w:val="24"/>
        </w:rPr>
        <w:t>Round 2</w:t>
      </w:r>
      <w:r w:rsidRPr="002102E2">
        <w:rPr>
          <w:rFonts w:ascii="Century Gothic" w:hAnsi="Century Gothic"/>
          <w:sz w:val="24"/>
          <w:szCs w:val="24"/>
        </w:rPr>
        <w:t xml:space="preserve">, the </w:t>
      </w:r>
      <w:r>
        <w:rPr>
          <w:rFonts w:ascii="Century Gothic" w:hAnsi="Century Gothic"/>
          <w:sz w:val="24"/>
          <w:szCs w:val="24"/>
        </w:rPr>
        <w:t>Embassy</w:t>
      </w:r>
      <w:r w:rsidRPr="002102E2">
        <w:rPr>
          <w:rFonts w:ascii="Century Gothic" w:hAnsi="Century Gothic"/>
          <w:sz w:val="24"/>
          <w:szCs w:val="24"/>
        </w:rPr>
        <w:t xml:space="preserve"> will invite </w:t>
      </w:r>
      <w:r>
        <w:rPr>
          <w:rFonts w:ascii="Century Gothic" w:hAnsi="Century Gothic"/>
          <w:sz w:val="24"/>
          <w:szCs w:val="24"/>
        </w:rPr>
        <w:t>applicants</w:t>
      </w:r>
      <w:r w:rsidRPr="002102E2">
        <w:rPr>
          <w:rFonts w:ascii="Century Gothic" w:hAnsi="Century Gothic"/>
          <w:sz w:val="24"/>
          <w:szCs w:val="24"/>
        </w:rPr>
        <w:t xml:space="preserve"> with promising ideas to submit full project applications, due </w:t>
      </w:r>
      <w:r w:rsidRPr="002102E2">
        <w:rPr>
          <w:rFonts w:ascii="Century Gothic" w:hAnsi="Century Gothic"/>
          <w:b/>
          <w:bCs/>
          <w:sz w:val="24"/>
          <w:szCs w:val="24"/>
        </w:rPr>
        <w:t xml:space="preserve">April </w:t>
      </w:r>
      <w:r w:rsidRPr="002102E2">
        <w:rPr>
          <w:rFonts w:ascii="Century Gothic" w:hAnsi="Century Gothic"/>
          <w:b/>
          <w:bCs/>
          <w:sz w:val="24"/>
          <w:szCs w:val="24"/>
        </w:rPr>
        <w:t>7</w:t>
      </w:r>
      <w:r w:rsidRPr="002102E2">
        <w:rPr>
          <w:rFonts w:ascii="Century Gothic" w:hAnsi="Century Gothic"/>
          <w:b/>
          <w:bCs/>
          <w:sz w:val="24"/>
          <w:szCs w:val="24"/>
        </w:rPr>
        <w:t>, 2022</w:t>
      </w:r>
      <w:r w:rsidRPr="002102E2">
        <w:rPr>
          <w:rFonts w:ascii="Century Gothic" w:hAnsi="Century Gothic"/>
          <w:sz w:val="24"/>
          <w:szCs w:val="24"/>
        </w:rPr>
        <w:t xml:space="preserve">. </w:t>
      </w:r>
      <w:r w:rsidR="00652AA3">
        <w:rPr>
          <w:rFonts w:ascii="Century Gothic" w:hAnsi="Century Gothic"/>
          <w:sz w:val="24"/>
          <w:szCs w:val="24"/>
        </w:rPr>
        <w:t xml:space="preserve"> </w:t>
      </w:r>
    </w:p>
    <w:p w14:paraId="11DF2C50" w14:textId="77777777" w:rsidR="00652AA3" w:rsidRPr="002102E2" w:rsidRDefault="00652AA3" w:rsidP="002102E2">
      <w:pPr>
        <w:spacing w:after="0" w:line="360" w:lineRule="auto"/>
        <w:rPr>
          <w:rFonts w:ascii="Century Gothic" w:hAnsi="Century Gothic"/>
          <w:sz w:val="24"/>
          <w:szCs w:val="24"/>
        </w:rPr>
      </w:pPr>
    </w:p>
    <w:p w14:paraId="316E2A47" w14:textId="1C8B459C"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xml:space="preserve">2. AFCP Program Objectives: The Department of State established the AFCP in 2001 at the request of Congress (Conference Report 106-1005 accompanying H.R. 4942). The projects recommended for funding </w:t>
      </w:r>
      <w:r w:rsidR="00C51CC2">
        <w:rPr>
          <w:rFonts w:ascii="Century Gothic" w:hAnsi="Century Gothic"/>
          <w:sz w:val="24"/>
          <w:szCs w:val="24"/>
        </w:rPr>
        <w:t xml:space="preserve">must </w:t>
      </w:r>
      <w:r w:rsidRPr="002102E2">
        <w:rPr>
          <w:rFonts w:ascii="Century Gothic" w:hAnsi="Century Gothic"/>
          <w:sz w:val="24"/>
          <w:szCs w:val="24"/>
        </w:rPr>
        <w:t>strengthen civil society, encourage good governance, and promote political and economic stability around the world.</w:t>
      </w:r>
    </w:p>
    <w:p w14:paraId="25FA44EB" w14:textId="77777777" w:rsidR="00D00A9B" w:rsidRPr="002102E2" w:rsidRDefault="00D00A9B" w:rsidP="002102E2">
      <w:pPr>
        <w:spacing w:after="0" w:line="360" w:lineRule="auto"/>
        <w:rPr>
          <w:rFonts w:ascii="Century Gothic" w:hAnsi="Century Gothic"/>
          <w:sz w:val="24"/>
          <w:szCs w:val="24"/>
        </w:rPr>
      </w:pPr>
    </w:p>
    <w:p w14:paraId="6A58A21C" w14:textId="08A3A12E"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xml:space="preserve">3. Awards will range from $10,000 to $500,000. </w:t>
      </w:r>
      <w:r w:rsidR="00D00A9B">
        <w:rPr>
          <w:rFonts w:ascii="Century Gothic" w:hAnsi="Century Gothic"/>
          <w:sz w:val="24"/>
          <w:szCs w:val="24"/>
        </w:rPr>
        <w:t xml:space="preserve"> </w:t>
      </w:r>
    </w:p>
    <w:p w14:paraId="086B1185" w14:textId="77777777" w:rsidR="00D00A9B" w:rsidRPr="002102E2" w:rsidRDefault="00D00A9B" w:rsidP="002102E2">
      <w:pPr>
        <w:spacing w:after="0" w:line="360" w:lineRule="auto"/>
        <w:rPr>
          <w:rFonts w:ascii="Century Gothic" w:hAnsi="Century Gothic"/>
          <w:sz w:val="24"/>
          <w:szCs w:val="24"/>
        </w:rPr>
      </w:pPr>
    </w:p>
    <w:p w14:paraId="467CA426" w14:textId="5B876D5B"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4. Eligible Countries: The AFCP 2022 Grants Program is open to embassies in countries based on their ranking in the 2020 U.N. Human Development Index. Constituent posts should consult their embassy public affairs section. The eligible countries for the AFCP in FY 2022 are:</w:t>
      </w:r>
    </w:p>
    <w:p w14:paraId="333AC011"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xml:space="preserve">Afghanistan, Albania, Algeria, Angola, Antigua &amp; Barbuda, Armenia, Azerbaijan, The Bahamas, Bangladesh, Barbados, Belarus, Belize, Benin, Bhutan, Bolivia, Bosnia &amp; Herzegovina, Botswana, Brazil, Bulgaria, Burkina Faso, Burma, Burundi, Cabo Verde, Cambodia, Cameroon, Central African Republic, Chad, </w:t>
      </w:r>
      <w:r w:rsidRPr="002102E2">
        <w:rPr>
          <w:rFonts w:ascii="Century Gothic" w:hAnsi="Century Gothic"/>
          <w:sz w:val="24"/>
          <w:szCs w:val="24"/>
        </w:rPr>
        <w:lastRenderedPageBreak/>
        <w:t>Colombia, Comoros, Congo (Democratic Republic of the), Congo (Republic of), Costa Rica, Cote d’Ivoire, Cuba, Djibouti, Dominica, Dominican Republic, Ecuador, Egypt, El Salvador, Equatorial Guinea, Eritrea, Eswatini, Ethiopia, Fiji, Gabon, Gambia, Georgia, Ghana, Grenada, Guatemala, Guinea, Guinea-Bissau, Guyana, Haiti, Honduras, India, Indonesia, Iraq, Jamaica, Jordan, Kazakhstan, Kenya, Kiribati, Kosovo, Kuwait, Kyrgyz Republic, Laos, Lebanon, Lesotho, Liberia, Libya, Macedonia, Madagascar, Malawi, Malaysia, Maldives, Mali, Marshall Islands, Mauritania, Mauritius, Mexico, Micronesia, Moldova, Mongolia, Montenegro, Morocco, Mozambique, Namibia, Nauru, Nepal, Nicaragua, Niger, Nigeria, Pakistan, Palau, Panama, Papua New Guinea, Paraguay, Peru, Philippines, Romania, Russia, Rwanda, Saint Kitts &amp; Nevis, Saint Lucia, Saint Vincent &amp; the Grenadines, Samoa, Sao Tome &amp; Principe, Senegal, Serbia, Seychelles, Sierra Leone, Solomon Islands, Somalia, South Africa, South Sudan, Sri Lanka, Sudan, Suriname, Syria, Tajikistan, Tanzania, Thailand, Timor-Leste, Togo, Tonga, Trinidad &amp; Tobago, Tunisia, Turkey, Turkmenistan, Tuvalu, Uganda, Ukraine, Uruguay, Uzbekistan, Vanuatu, Venezuela, Vietnam, Yemen, Zambia, and Zimbabwe.</w:t>
      </w:r>
    </w:p>
    <w:p w14:paraId="6FE72CD5" w14:textId="35518EAE"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Note: Embassy Antananarivo may apply for Comoros; Bridgetown for Antigua &amp; Barbuda, Dominica, Grenada, Saint Kitts &amp; Nevis, Saint Lucia, and Saint Vincent &amp; the Grenadines; Colombo for Maldives; Dakar for Guinea-Bissau; Libreville for Sao Tome &amp; Principe; New Delhi for Bhutan; Port Louis for Seychelles; Port Moresby for Solomon Islands and Vanuatu; and Suva for Kiribati, Nauru, Tonga, and Tuvalu.</w:t>
      </w:r>
    </w:p>
    <w:p w14:paraId="14DB703F" w14:textId="77777777" w:rsidR="0042172B" w:rsidRPr="002102E2" w:rsidRDefault="0042172B" w:rsidP="002102E2">
      <w:pPr>
        <w:spacing w:after="0" w:line="360" w:lineRule="auto"/>
        <w:rPr>
          <w:rFonts w:ascii="Century Gothic" w:hAnsi="Century Gothic"/>
          <w:sz w:val="24"/>
          <w:szCs w:val="24"/>
        </w:rPr>
      </w:pPr>
    </w:p>
    <w:p w14:paraId="4251AAB3" w14:textId="77777777" w:rsidR="005C33A3" w:rsidRDefault="0042172B" w:rsidP="002102E2">
      <w:pPr>
        <w:spacing w:after="0" w:line="360" w:lineRule="auto"/>
        <w:rPr>
          <w:rFonts w:ascii="Century Gothic" w:hAnsi="Century Gothic"/>
          <w:sz w:val="24"/>
          <w:szCs w:val="24"/>
        </w:rPr>
      </w:pPr>
      <w:r>
        <w:rPr>
          <w:rFonts w:ascii="Century Gothic" w:hAnsi="Century Gothic"/>
          <w:sz w:val="24"/>
          <w:szCs w:val="24"/>
        </w:rPr>
        <w:t>5</w:t>
      </w:r>
      <w:r w:rsidR="002102E2" w:rsidRPr="002102E2">
        <w:rPr>
          <w:rFonts w:ascii="Century Gothic" w:hAnsi="Century Gothic"/>
          <w:sz w:val="24"/>
          <w:szCs w:val="24"/>
        </w:rPr>
        <w:t xml:space="preserve">. Funding Areas: The AFCP Grants Program supports the preservation of archaeological sites, historic buildings and monuments, museum collections, and forms of traditional cultural expression, such as indigenous languages and crafts. </w:t>
      </w:r>
    </w:p>
    <w:p w14:paraId="12AFCD5C" w14:textId="6E9EE3AC" w:rsidR="002102E2" w:rsidRPr="002102E2" w:rsidRDefault="005C33A3" w:rsidP="002102E2">
      <w:pPr>
        <w:spacing w:after="0" w:line="360" w:lineRule="auto"/>
        <w:rPr>
          <w:rFonts w:ascii="Century Gothic" w:hAnsi="Century Gothic"/>
          <w:sz w:val="24"/>
          <w:szCs w:val="24"/>
        </w:rPr>
      </w:pPr>
      <w:r>
        <w:rPr>
          <w:rFonts w:ascii="Century Gothic" w:hAnsi="Century Gothic"/>
          <w:sz w:val="24"/>
          <w:szCs w:val="24"/>
        </w:rPr>
        <w:lastRenderedPageBreak/>
        <w:t>Examples of a</w:t>
      </w:r>
      <w:r w:rsidR="002102E2" w:rsidRPr="002102E2">
        <w:rPr>
          <w:rFonts w:ascii="Century Gothic" w:hAnsi="Century Gothic"/>
          <w:sz w:val="24"/>
          <w:szCs w:val="24"/>
        </w:rPr>
        <w:t xml:space="preserve">ppropriate activities </w:t>
      </w:r>
      <w:r>
        <w:rPr>
          <w:rFonts w:ascii="Century Gothic" w:hAnsi="Century Gothic"/>
          <w:sz w:val="24"/>
          <w:szCs w:val="24"/>
        </w:rPr>
        <w:t xml:space="preserve">when </w:t>
      </w:r>
      <w:r w:rsidR="001A01E1">
        <w:rPr>
          <w:rFonts w:ascii="Century Gothic" w:hAnsi="Century Gothic"/>
          <w:sz w:val="24"/>
          <w:szCs w:val="24"/>
        </w:rPr>
        <w:t xml:space="preserve">creating a project on the themes mentioned above </w:t>
      </w:r>
      <w:r w:rsidR="002102E2" w:rsidRPr="002102E2">
        <w:rPr>
          <w:rFonts w:ascii="Century Gothic" w:hAnsi="Century Gothic"/>
          <w:sz w:val="24"/>
          <w:szCs w:val="24"/>
        </w:rPr>
        <w:t>may include:</w:t>
      </w:r>
    </w:p>
    <w:p w14:paraId="7D65FE23"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a) Anastylosis (reassembling a site from its original parts)</w:t>
      </w:r>
    </w:p>
    <w:p w14:paraId="4CD37C00"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b) Conservation (addressing damage or deterioration to an object or site)</w:t>
      </w:r>
    </w:p>
    <w:p w14:paraId="6848EC6E"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c) Consolidation (connecting or reconnecting elements of an object or site)</w:t>
      </w:r>
    </w:p>
    <w:p w14:paraId="50A32F65"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d) Documentation (recording in analog or digital format the condition and salient features of an object, site, or tradition)</w:t>
      </w:r>
    </w:p>
    <w:p w14:paraId="1F5E2410"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e) Inventory (listing of objects, sites, or traditions by location, feature, age, or other unifying characteristic or state)</w:t>
      </w:r>
    </w:p>
    <w:p w14:paraId="799A42A4"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f) Preventive Conservation (addressing conditions that threaten or damage a site, object, collection, or tradition)</w:t>
      </w:r>
    </w:p>
    <w:p w14:paraId="2DFB7CB3"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g) Restoration (replacing missing elements to recreate the original appearance of an object or site, usually appropriate only with fine arts, decorative arts, and historic buildings)</w:t>
      </w:r>
    </w:p>
    <w:p w14:paraId="23EBA0E4"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h) Stabilization (reducing the physical disturbance of an object or site)</w:t>
      </w:r>
    </w:p>
    <w:p w14:paraId="3AF388BD" w14:textId="77777777" w:rsidR="0097749C" w:rsidRDefault="0097749C" w:rsidP="002102E2">
      <w:pPr>
        <w:spacing w:after="0" w:line="360" w:lineRule="auto"/>
        <w:rPr>
          <w:rFonts w:ascii="Century Gothic" w:hAnsi="Century Gothic"/>
          <w:sz w:val="24"/>
          <w:szCs w:val="24"/>
        </w:rPr>
      </w:pPr>
    </w:p>
    <w:p w14:paraId="0D92F8C6" w14:textId="7637D2C0" w:rsidR="00E70D09" w:rsidRDefault="00D06EC0" w:rsidP="002102E2">
      <w:pPr>
        <w:spacing w:after="0" w:line="360" w:lineRule="auto"/>
        <w:rPr>
          <w:rFonts w:ascii="Century Gothic" w:hAnsi="Century Gothic"/>
          <w:sz w:val="24"/>
          <w:szCs w:val="24"/>
        </w:rPr>
      </w:pPr>
      <w:r>
        <w:rPr>
          <w:rFonts w:ascii="Century Gothic" w:hAnsi="Century Gothic"/>
          <w:sz w:val="24"/>
          <w:szCs w:val="24"/>
        </w:rPr>
        <w:t>6</w:t>
      </w:r>
      <w:r w:rsidR="002102E2" w:rsidRPr="002102E2">
        <w:rPr>
          <w:rFonts w:ascii="Century Gothic" w:hAnsi="Century Gothic"/>
          <w:sz w:val="24"/>
          <w:szCs w:val="24"/>
        </w:rPr>
        <w:t>. Sites and Objects Having a Religious Connection: The establishment clause of the U.S. Constitution permits the government to include religious objects and sites within an aid program under certain conditions. For example, an item with a religious connection (including a place of worship) may be the subject of a cultural preservation grant if the item derives its primary</w:t>
      </w:r>
      <w:r w:rsidR="00E70D09">
        <w:rPr>
          <w:rFonts w:ascii="Century Gothic" w:hAnsi="Century Gothic"/>
          <w:sz w:val="24"/>
          <w:szCs w:val="24"/>
        </w:rPr>
        <w:t xml:space="preserve"> s</w:t>
      </w:r>
      <w:r w:rsidR="002102E2" w:rsidRPr="002102E2">
        <w:rPr>
          <w:rFonts w:ascii="Century Gothic" w:hAnsi="Century Gothic"/>
          <w:sz w:val="24"/>
          <w:szCs w:val="24"/>
        </w:rPr>
        <w:t xml:space="preserve">ignificance and is nominated solely on the basis of architectural, artistic, historical, or other cultural (not religious) criteria. </w:t>
      </w:r>
    </w:p>
    <w:p w14:paraId="1B398115" w14:textId="77777777" w:rsidR="00FA1280" w:rsidRDefault="00FA1280" w:rsidP="002102E2">
      <w:pPr>
        <w:spacing w:after="0" w:line="360" w:lineRule="auto"/>
        <w:rPr>
          <w:rFonts w:ascii="Century Gothic" w:hAnsi="Century Gothic"/>
          <w:sz w:val="24"/>
          <w:szCs w:val="24"/>
        </w:rPr>
      </w:pPr>
    </w:p>
    <w:p w14:paraId="20243FB9" w14:textId="77777777" w:rsidR="00782B79" w:rsidRDefault="007A2611" w:rsidP="002102E2">
      <w:pPr>
        <w:spacing w:after="0" w:line="360" w:lineRule="auto"/>
        <w:rPr>
          <w:rFonts w:ascii="Century Gothic" w:hAnsi="Century Gothic"/>
          <w:sz w:val="24"/>
          <w:szCs w:val="24"/>
        </w:rPr>
      </w:pPr>
      <w:r>
        <w:rPr>
          <w:rFonts w:ascii="Century Gothic" w:hAnsi="Century Gothic"/>
          <w:sz w:val="24"/>
          <w:szCs w:val="24"/>
        </w:rPr>
        <w:t>7</w:t>
      </w:r>
      <w:r w:rsidR="002102E2" w:rsidRPr="002102E2">
        <w:rPr>
          <w:rFonts w:ascii="Century Gothic" w:hAnsi="Century Gothic"/>
          <w:sz w:val="24"/>
          <w:szCs w:val="24"/>
        </w:rPr>
        <w:t xml:space="preserve">. Eligible Project Implementers: The Center defines eligible project implementers as reputable and accountable non-commercial entities that can demonstrate they have the requisite capacity to manage projects to preserve cultural heritage. Eligible implementers may include non-governmental organizations, museums, educational institutions, ministries of culture, or similar institutions and </w:t>
      </w:r>
      <w:r w:rsidR="002102E2" w:rsidRPr="002102E2">
        <w:rPr>
          <w:rFonts w:ascii="Century Gothic" w:hAnsi="Century Gothic"/>
          <w:sz w:val="24"/>
          <w:szCs w:val="24"/>
        </w:rPr>
        <w:lastRenderedPageBreak/>
        <w:t xml:space="preserve">organizations, including U.S.-based educational institutions and organizations subject to Section 501(c)(3) of the tax code. </w:t>
      </w:r>
    </w:p>
    <w:p w14:paraId="3757C7E4" w14:textId="29AD4D83"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The AFCP will not award grants to individuals, commercial entities, or past award recipients that have not fulfilled the objectives or reporting requirements of previous awards.</w:t>
      </w:r>
    </w:p>
    <w:p w14:paraId="788361FE" w14:textId="77777777" w:rsidR="00782B79" w:rsidRPr="002102E2" w:rsidRDefault="00782B79" w:rsidP="002102E2">
      <w:pPr>
        <w:spacing w:after="0" w:line="360" w:lineRule="auto"/>
        <w:rPr>
          <w:rFonts w:ascii="Century Gothic" w:hAnsi="Century Gothic"/>
          <w:sz w:val="24"/>
          <w:szCs w:val="24"/>
        </w:rPr>
      </w:pPr>
    </w:p>
    <w:p w14:paraId="57095FDE" w14:textId="77777777" w:rsidR="00782B79" w:rsidRDefault="002102E2" w:rsidP="002102E2">
      <w:pPr>
        <w:spacing w:after="0" w:line="360" w:lineRule="auto"/>
        <w:rPr>
          <w:rFonts w:ascii="Century Gothic" w:hAnsi="Century Gothic"/>
          <w:sz w:val="24"/>
          <w:szCs w:val="24"/>
        </w:rPr>
      </w:pPr>
      <w:r w:rsidRPr="002102E2">
        <w:rPr>
          <w:rFonts w:ascii="Century Gothic" w:hAnsi="Century Gothic"/>
          <w:sz w:val="24"/>
          <w:szCs w:val="24"/>
        </w:rPr>
        <w:t xml:space="preserve">Potential implementers must be registered and active in the U.S. government’s System for Award Management (SAM) to receive U.S. federal assistance. </w:t>
      </w:r>
    </w:p>
    <w:p w14:paraId="3D9C48ED" w14:textId="6237EC42"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xml:space="preserve">See paragraph </w:t>
      </w:r>
      <w:r w:rsidR="0069316D">
        <w:rPr>
          <w:rFonts w:ascii="Century Gothic" w:hAnsi="Century Gothic"/>
          <w:sz w:val="24"/>
          <w:szCs w:val="24"/>
        </w:rPr>
        <w:t>13</w:t>
      </w:r>
      <w:r w:rsidRPr="002102E2">
        <w:rPr>
          <w:rFonts w:ascii="Century Gothic" w:hAnsi="Century Gothic"/>
          <w:sz w:val="24"/>
          <w:szCs w:val="24"/>
        </w:rPr>
        <w:t xml:space="preserve"> below for information on how to register. The registration process can take several weeks to complete so it is important to avoid any delay. If a project is selected for an award and the registration is not completed, the award could be delayed to the next FY, pending the availability of funding.</w:t>
      </w:r>
    </w:p>
    <w:p w14:paraId="2FA6706F"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Embassies must vet potential implementers for eligibility, suitability, and reputable performance in cultural preservation or similar activities and ensure that they are able to receive U.S. federal assistance.</w:t>
      </w:r>
    </w:p>
    <w:p w14:paraId="3E0AA2F4" w14:textId="2DD9F91B" w:rsidR="002102E2" w:rsidRPr="002102E2" w:rsidRDefault="002129FF" w:rsidP="002102E2">
      <w:pPr>
        <w:spacing w:after="0" w:line="360" w:lineRule="auto"/>
        <w:rPr>
          <w:rFonts w:ascii="Century Gothic" w:hAnsi="Century Gothic"/>
          <w:sz w:val="24"/>
          <w:szCs w:val="24"/>
        </w:rPr>
      </w:pPr>
      <w:r>
        <w:rPr>
          <w:rFonts w:ascii="Century Gothic" w:hAnsi="Century Gothic"/>
          <w:sz w:val="24"/>
          <w:szCs w:val="24"/>
        </w:rPr>
        <w:t xml:space="preserve"> </w:t>
      </w:r>
    </w:p>
    <w:p w14:paraId="66DFA642" w14:textId="68EB8748" w:rsidR="007401A7" w:rsidRDefault="001F67DD" w:rsidP="002102E2">
      <w:pPr>
        <w:spacing w:after="0" w:line="360" w:lineRule="auto"/>
        <w:rPr>
          <w:rFonts w:ascii="Century Gothic" w:hAnsi="Century Gothic"/>
          <w:sz w:val="24"/>
          <w:szCs w:val="24"/>
        </w:rPr>
      </w:pPr>
      <w:r>
        <w:rPr>
          <w:rFonts w:ascii="Century Gothic" w:hAnsi="Century Gothic"/>
          <w:sz w:val="24"/>
          <w:szCs w:val="24"/>
        </w:rPr>
        <w:t>8</w:t>
      </w:r>
      <w:r w:rsidR="002102E2" w:rsidRPr="002102E2">
        <w:rPr>
          <w:rFonts w:ascii="Century Gothic" w:hAnsi="Century Gothic"/>
          <w:sz w:val="24"/>
          <w:szCs w:val="24"/>
        </w:rPr>
        <w:t xml:space="preserve">. Round 1 Concept Note Requirements (Deadline: December </w:t>
      </w:r>
      <w:r w:rsidR="002129FF">
        <w:rPr>
          <w:rFonts w:ascii="Century Gothic" w:hAnsi="Century Gothic"/>
          <w:sz w:val="24"/>
          <w:szCs w:val="24"/>
        </w:rPr>
        <w:t>9</w:t>
      </w:r>
      <w:r w:rsidR="002102E2" w:rsidRPr="002102E2">
        <w:rPr>
          <w:rFonts w:ascii="Century Gothic" w:hAnsi="Century Gothic"/>
          <w:sz w:val="24"/>
          <w:szCs w:val="24"/>
        </w:rPr>
        <w:t xml:space="preserve">, 2021): </w:t>
      </w:r>
      <w:r w:rsidR="007401A7">
        <w:rPr>
          <w:rFonts w:ascii="Century Gothic" w:hAnsi="Century Gothic"/>
          <w:sz w:val="24"/>
          <w:szCs w:val="24"/>
        </w:rPr>
        <w:t xml:space="preserve"> </w:t>
      </w:r>
      <w:r w:rsidR="002102E2" w:rsidRPr="002102E2">
        <w:rPr>
          <w:rFonts w:ascii="Century Gothic" w:hAnsi="Century Gothic"/>
          <w:sz w:val="24"/>
          <w:szCs w:val="24"/>
        </w:rPr>
        <w:t xml:space="preserve"> </w:t>
      </w:r>
    </w:p>
    <w:p w14:paraId="391A2D41" w14:textId="115E39E4"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Each concept note submitted must include:</w:t>
      </w:r>
    </w:p>
    <w:p w14:paraId="1FBCA9E2"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a) Project basics, including working title, anticipated project length (Note: Applicants may propose project periods of up to 60 months), location/site, and project cost estimate (amount requested from AFCP; in U.S. dollars).</w:t>
      </w:r>
    </w:p>
    <w:p w14:paraId="23CDF861"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b) Project implementer.</w:t>
      </w:r>
    </w:p>
    <w:p w14:paraId="2FBE5A56"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c) Scope of work summarizing (1) the preservation goals and the activities planned to achieve those goals; and (2) any broader host country or community goals and the activities planned to achieve those goals; (i.e., what they hope to gain from the project beyond the preserved heritage and how they plan to get there; 2,000 characters maximum).</w:t>
      </w:r>
    </w:p>
    <w:p w14:paraId="55445A62" w14:textId="04E6BD0B"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lastRenderedPageBreak/>
        <w:t xml:space="preserve">d) Rationale for AFCP support, explaining why it’s in the interests of the U.S. government to fund the project, </w:t>
      </w:r>
      <w:r w:rsidR="00C72BB5">
        <w:rPr>
          <w:rFonts w:ascii="Century Gothic" w:hAnsi="Century Gothic"/>
          <w:sz w:val="24"/>
          <w:szCs w:val="24"/>
        </w:rPr>
        <w:t>i.e.</w:t>
      </w:r>
      <w:r w:rsidRPr="002102E2">
        <w:rPr>
          <w:rFonts w:ascii="Century Gothic" w:hAnsi="Century Gothic"/>
          <w:sz w:val="24"/>
          <w:szCs w:val="24"/>
        </w:rPr>
        <w:t>:</w:t>
      </w:r>
      <w:r w:rsidR="00EA5977">
        <w:rPr>
          <w:rFonts w:ascii="Century Gothic" w:hAnsi="Century Gothic"/>
          <w:sz w:val="24"/>
          <w:szCs w:val="24"/>
        </w:rPr>
        <w:t xml:space="preserve"> </w:t>
      </w:r>
      <w:r w:rsidRPr="002102E2">
        <w:rPr>
          <w:rFonts w:ascii="Century Gothic" w:hAnsi="Century Gothic"/>
          <w:sz w:val="24"/>
          <w:szCs w:val="24"/>
        </w:rPr>
        <w:t xml:space="preserve">the projected </w:t>
      </w:r>
      <w:r w:rsidR="00071A64">
        <w:rPr>
          <w:rFonts w:ascii="Century Gothic" w:hAnsi="Century Gothic"/>
          <w:sz w:val="24"/>
          <w:szCs w:val="24"/>
        </w:rPr>
        <w:t>mutual understanding</w:t>
      </w:r>
      <w:r w:rsidRPr="002102E2">
        <w:rPr>
          <w:rFonts w:ascii="Century Gothic" w:hAnsi="Century Gothic"/>
          <w:sz w:val="24"/>
          <w:szCs w:val="24"/>
        </w:rPr>
        <w:t xml:space="preserve"> benefits and impacts of the project (1,000 characters maximum).</w:t>
      </w:r>
    </w:p>
    <w:p w14:paraId="3A4C31DA" w14:textId="060AFF6C"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e) Embassy Front Office (FO) clearance.</w:t>
      </w:r>
    </w:p>
    <w:p w14:paraId="6EF57B11" w14:textId="77777777" w:rsidR="007F4656" w:rsidRPr="002102E2" w:rsidRDefault="007F4656" w:rsidP="002102E2">
      <w:pPr>
        <w:spacing w:after="0" w:line="360" w:lineRule="auto"/>
        <w:rPr>
          <w:rFonts w:ascii="Century Gothic" w:hAnsi="Century Gothic"/>
          <w:sz w:val="24"/>
          <w:szCs w:val="24"/>
        </w:rPr>
      </w:pPr>
    </w:p>
    <w:p w14:paraId="18214047" w14:textId="5A7F3B27"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f) Five (5) high quality digital images (JPEGs) or audiovisual files that convey the nature and condition of the site, collection, or tradition and show the urgency or need for the proposed project (collapsing walls, water damage, etc.).</w:t>
      </w:r>
    </w:p>
    <w:p w14:paraId="5E0D2A4C" w14:textId="77777777" w:rsidR="007F4656" w:rsidRPr="002102E2" w:rsidRDefault="007F4656" w:rsidP="002102E2">
      <w:pPr>
        <w:spacing w:after="0" w:line="360" w:lineRule="auto"/>
        <w:rPr>
          <w:rFonts w:ascii="Century Gothic" w:hAnsi="Century Gothic"/>
          <w:sz w:val="24"/>
          <w:szCs w:val="24"/>
        </w:rPr>
      </w:pPr>
    </w:p>
    <w:p w14:paraId="4EABB397" w14:textId="31CE9B4D" w:rsidR="002102E2" w:rsidRPr="002102E2" w:rsidRDefault="001F67DD" w:rsidP="002102E2">
      <w:pPr>
        <w:spacing w:after="0" w:line="360" w:lineRule="auto"/>
        <w:rPr>
          <w:rFonts w:ascii="Century Gothic" w:hAnsi="Century Gothic"/>
          <w:sz w:val="24"/>
          <w:szCs w:val="24"/>
        </w:rPr>
      </w:pPr>
      <w:r>
        <w:rPr>
          <w:rFonts w:ascii="Century Gothic" w:hAnsi="Century Gothic"/>
          <w:sz w:val="24"/>
          <w:szCs w:val="24"/>
        </w:rPr>
        <w:t>9</w:t>
      </w:r>
      <w:r w:rsidR="002102E2" w:rsidRPr="002102E2">
        <w:rPr>
          <w:rFonts w:ascii="Century Gothic" w:hAnsi="Century Gothic"/>
          <w:sz w:val="24"/>
          <w:szCs w:val="24"/>
        </w:rPr>
        <w:t xml:space="preserve">. Round 2 Full Application Requirements (Deadline: April </w:t>
      </w:r>
      <w:r>
        <w:rPr>
          <w:rFonts w:ascii="Century Gothic" w:hAnsi="Century Gothic"/>
          <w:sz w:val="24"/>
          <w:szCs w:val="24"/>
        </w:rPr>
        <w:t>7</w:t>
      </w:r>
      <w:r w:rsidR="002102E2" w:rsidRPr="002102E2">
        <w:rPr>
          <w:rFonts w:ascii="Century Gothic" w:hAnsi="Century Gothic"/>
          <w:sz w:val="24"/>
          <w:szCs w:val="24"/>
        </w:rPr>
        <w:t xml:space="preserve">, 2022): The Center will invite embassies selected in Round 1 to submit full applications by no later than April </w:t>
      </w:r>
      <w:r w:rsidR="002A261F">
        <w:rPr>
          <w:rFonts w:ascii="Century Gothic" w:hAnsi="Century Gothic"/>
          <w:sz w:val="24"/>
          <w:szCs w:val="24"/>
        </w:rPr>
        <w:t>7</w:t>
      </w:r>
      <w:r w:rsidR="002102E2" w:rsidRPr="002102E2">
        <w:rPr>
          <w:rFonts w:ascii="Century Gothic" w:hAnsi="Century Gothic"/>
          <w:sz w:val="24"/>
          <w:szCs w:val="24"/>
        </w:rPr>
        <w:t>, 2022, 11:59 p.m. EDT. The applications must fully satisfy the program objectives, funding areas and priorities, and eligibility requirements. Furthermore, to be considered complete, they must include:</w:t>
      </w:r>
    </w:p>
    <w:p w14:paraId="0D25C3C2" w14:textId="77777777" w:rsidR="009E58CE" w:rsidRDefault="009E58CE" w:rsidP="002102E2">
      <w:pPr>
        <w:spacing w:after="0" w:line="360" w:lineRule="auto"/>
        <w:rPr>
          <w:rFonts w:ascii="Century Gothic" w:hAnsi="Century Gothic"/>
          <w:sz w:val="24"/>
          <w:szCs w:val="24"/>
        </w:rPr>
      </w:pPr>
    </w:p>
    <w:p w14:paraId="2C1592DB" w14:textId="3C0E56D3"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From the implementer:</w:t>
      </w:r>
    </w:p>
    <w:p w14:paraId="52AF9DB8"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a) Project dates (maximum of 60 months [five years]).</w:t>
      </w:r>
    </w:p>
    <w:p w14:paraId="36428498"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b) Statement of importance highlighting the historical, architectural, artistic, or cultural (non-religious) values of the cultural heritage.</w:t>
      </w:r>
    </w:p>
    <w:p w14:paraId="30E59283"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c) Revised/detailed scope of work with (1) clear preservation goals and activities for achieving those goals, and (2) the host country or community’s intended broader goals and activities for achieving those goals (Note: When describing and ordering the activities for (1) and (2) above, highlight any major milestones and target dates for achieving them. Each set of activities should clearly lead to their corresponding goals with no gaps. The overall presentation should make a compelling case that the implementer has a clear and comprehensive sense of how to achieve the preservation and other goals).</w:t>
      </w:r>
    </w:p>
    <w:p w14:paraId="72327684"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lastRenderedPageBreak/>
        <w:t>d) Proof of official permission to undertake the project from the office, agency, or organization that either owns or is otherwise responsible for the preservation and protection of the site or collection.</w:t>
      </w:r>
    </w:p>
    <w:p w14:paraId="0AB091AA"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e) Implementer’s public awareness plan describing how the applicant intends to highlight and amplify AFCP-supported activities through print, electronic, social media, and other means.</w:t>
      </w:r>
    </w:p>
    <w:p w14:paraId="32D0E89F"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f) Maintenance plan outlining the steps or measures that will be taken to maintain the site, object, or collection in good condition after the AFCP-supported project is complete; or, in the case of forms of traditional cultural expression, to preserve and disseminate the documentation, knowledge, or skills gained from the project.</w:t>
      </w:r>
    </w:p>
    <w:p w14:paraId="1378E8A4"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g) Résumés or CVs of the proposed project director and key project participants.</w:t>
      </w:r>
    </w:p>
    <w:p w14:paraId="20819CFE" w14:textId="5B73B214"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xml:space="preserve">h) Detailed project budget, demarcated in one-year budget periods (2022, 2023, 2024, etc.), that lists all costs in separate categories (Personnel, Fringe Benefits, Travel [including Per Diem], Equipment, Supplies, Contractual, Other Direct Costs, Indirect Costs); indicates funds from other sources; and gives a justification for any anticipated international travel costs; </w:t>
      </w:r>
    </w:p>
    <w:p w14:paraId="277085B4"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i) Budget narrative explaining how the costs were estimated (quantity x unit cost, annual salary x percentage of time spent on project, etc.) and any large budget line items.</w:t>
      </w:r>
    </w:p>
    <w:p w14:paraId="22C62488"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j) Application for Federal Assistance (SF-424), including Budget Information for Non-Construction Programs (SF-424A), Assurances for Non-Construction Programs (SF-424B), and, if applicable, Disclosure of Lobbying Activities (SF-LLL).</w:t>
      </w:r>
    </w:p>
    <w:p w14:paraId="26743C97" w14:textId="44F1F5FB"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xml:space="preserve">k) Relevant </w:t>
      </w:r>
      <w:r w:rsidR="00116499">
        <w:rPr>
          <w:rFonts w:ascii="Century Gothic" w:hAnsi="Century Gothic"/>
          <w:sz w:val="24"/>
          <w:szCs w:val="24"/>
        </w:rPr>
        <w:t xml:space="preserve">concise </w:t>
      </w:r>
      <w:r w:rsidRPr="002102E2">
        <w:rPr>
          <w:rFonts w:ascii="Century Gothic" w:hAnsi="Century Gothic"/>
          <w:sz w:val="24"/>
          <w:szCs w:val="24"/>
        </w:rPr>
        <w:t>supporting documentation, such as historic structure reports, restoration plans and studies, conservation needs assessments and recommendations, architectural and engineering records, etc., compiled in preparation for the proposed project</w:t>
      </w:r>
      <w:r w:rsidR="00116499">
        <w:rPr>
          <w:rFonts w:ascii="Century Gothic" w:hAnsi="Century Gothic"/>
          <w:sz w:val="24"/>
          <w:szCs w:val="24"/>
        </w:rPr>
        <w:t xml:space="preserve"> and only in </w:t>
      </w:r>
      <w:r w:rsidR="008D340B">
        <w:rPr>
          <w:rFonts w:ascii="Century Gothic" w:hAnsi="Century Gothic"/>
          <w:sz w:val="24"/>
          <w:szCs w:val="24"/>
        </w:rPr>
        <w:t xml:space="preserve">professional </w:t>
      </w:r>
      <w:r w:rsidR="00116499">
        <w:rPr>
          <w:rFonts w:ascii="Century Gothic" w:hAnsi="Century Gothic"/>
          <w:sz w:val="24"/>
          <w:szCs w:val="24"/>
        </w:rPr>
        <w:t>English translation</w:t>
      </w:r>
      <w:r w:rsidRPr="002102E2">
        <w:rPr>
          <w:rFonts w:ascii="Century Gothic" w:hAnsi="Century Gothic"/>
          <w:sz w:val="24"/>
          <w:szCs w:val="24"/>
        </w:rPr>
        <w:t>.</w:t>
      </w:r>
    </w:p>
    <w:p w14:paraId="544535C3" w14:textId="5AAE4B59"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lastRenderedPageBreak/>
        <w:t>l) As requested by the Center or as appropriate, additional high quality digital images (JPEGs) or audiovisual files that convey the nature and condition of the heritage and show the urgency or need for the proposed project (collapsing walls, extensive water damage, etc.).</w:t>
      </w:r>
    </w:p>
    <w:p w14:paraId="6B8D8DF7" w14:textId="77777777" w:rsidR="00E61AF2" w:rsidRPr="002102E2" w:rsidRDefault="00E61AF2" w:rsidP="002102E2">
      <w:pPr>
        <w:spacing w:after="0" w:line="360" w:lineRule="auto"/>
        <w:rPr>
          <w:rFonts w:ascii="Century Gothic" w:hAnsi="Century Gothic"/>
          <w:sz w:val="24"/>
          <w:szCs w:val="24"/>
        </w:rPr>
      </w:pPr>
    </w:p>
    <w:p w14:paraId="4987CEF7" w14:textId="3E7D229C"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1</w:t>
      </w:r>
      <w:r w:rsidR="00E61AF2">
        <w:rPr>
          <w:rFonts w:ascii="Century Gothic" w:hAnsi="Century Gothic"/>
          <w:sz w:val="24"/>
          <w:szCs w:val="24"/>
        </w:rPr>
        <w:t>0</w:t>
      </w:r>
      <w:r w:rsidRPr="002102E2">
        <w:rPr>
          <w:rFonts w:ascii="Century Gothic" w:hAnsi="Century Gothic"/>
          <w:sz w:val="24"/>
          <w:szCs w:val="24"/>
        </w:rPr>
        <w:t>. Cost Sharing and Other Forms of Cost Participation: There is no minimum or maximum percentage of cost participation required. When an implementing partner offers cost sharing, it is understood and agreed that the partner must provide the amount of cost sharing as stipulated in the budget of the application and later included in an approved agreement. The implementing partner will be responsible for tracking and reporting on any cost share or outside funding, which is subject to audit per 2 CFR 200. Cost sharing may be in the form of allowable direct or indirect costs.</w:t>
      </w:r>
    </w:p>
    <w:p w14:paraId="61A585F9" w14:textId="77777777" w:rsidR="00A5007F" w:rsidRPr="002102E2" w:rsidRDefault="00A5007F" w:rsidP="002102E2">
      <w:pPr>
        <w:spacing w:after="0" w:line="360" w:lineRule="auto"/>
        <w:rPr>
          <w:rFonts w:ascii="Century Gothic" w:hAnsi="Century Gothic"/>
          <w:sz w:val="24"/>
          <w:szCs w:val="24"/>
        </w:rPr>
      </w:pPr>
    </w:p>
    <w:p w14:paraId="7A1BC64C" w14:textId="0C936C28"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1</w:t>
      </w:r>
      <w:r w:rsidR="00A5007F">
        <w:rPr>
          <w:rFonts w:ascii="Century Gothic" w:hAnsi="Century Gothic"/>
          <w:sz w:val="24"/>
          <w:szCs w:val="24"/>
        </w:rPr>
        <w:t>1</w:t>
      </w:r>
      <w:r w:rsidRPr="002102E2">
        <w:rPr>
          <w:rFonts w:ascii="Century Gothic" w:hAnsi="Century Gothic"/>
          <w:sz w:val="24"/>
          <w:szCs w:val="24"/>
        </w:rPr>
        <w:t>. Ineligible Activities and Unallowable Costs: AFCP does not support the following activities or costs, and the Center will deem applications requesting AFCP support for any of these activities or costs ineligible:</w:t>
      </w:r>
    </w:p>
    <w:p w14:paraId="16935962"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a) Preservation or purchase of privately or commercially owned cultural objects, collections, or real property, including those whose transfer from private or commercial to public ownership is envisioned, planned, or in process but not complete at the time of application.</w:t>
      </w:r>
    </w:p>
    <w:p w14:paraId="2DD8BD2D"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b) Preservation of natural heritage (physical, biological, and geological formations, paleontological collections, habitats of threatened species of animals and plants, fossils, etc.) unless the natural heritage has a cultural heritage connection or dimension.</w:t>
      </w:r>
    </w:p>
    <w:p w14:paraId="6EDE2024"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c) Preservation of hominid or human remains.</w:t>
      </w:r>
    </w:p>
    <w:p w14:paraId="5A83F924"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d) Preservation of news media (newspapers, newsreels, radio and TV programs, etc.).</w:t>
      </w:r>
    </w:p>
    <w:p w14:paraId="13F9C1DB"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lastRenderedPageBreak/>
        <w:t>e) Preservation of published materials available elsewhere (books, periodicals, etc.).</w:t>
      </w:r>
    </w:p>
    <w:p w14:paraId="6F8EB7FC"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f) Development of curricula or educational materials for classroom use.</w:t>
      </w:r>
    </w:p>
    <w:p w14:paraId="51353F0C"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g) Archaeological excavations or exploratory surveys for research purposes.</w:t>
      </w:r>
    </w:p>
    <w:p w14:paraId="02C09CFC"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h) Historical research, except in cases where the research is justifiable and integral to the success of the proposed project.</w:t>
      </w:r>
    </w:p>
    <w:p w14:paraId="3253190F"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i) Acquisition or creation of new exhibits, objects, or collections for new or existing museums.</w:t>
      </w:r>
    </w:p>
    <w:p w14:paraId="38F5200E"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j) Construction of new buildings, building additions, or permanent coverings (over archaeological sites, for example).</w:t>
      </w:r>
    </w:p>
    <w:p w14:paraId="2EDB8E22"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k) Commissions of new works of art or architecture for commemorative or economic development purposes.</w:t>
      </w:r>
    </w:p>
    <w:p w14:paraId="37E8680C"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l) Creation of new or the modern adaptation of existing traditional dances, songs, chants, musical compositions, plays, or other performances.</w:t>
      </w:r>
    </w:p>
    <w:p w14:paraId="69EC68F4"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m) Creation of replicas or conjectural reconstructions of cultural objects or sites that no longer exist.</w:t>
      </w:r>
    </w:p>
    <w:p w14:paraId="2D833541"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n) Relocation of cultural sites from one physical location to another.</w:t>
      </w:r>
    </w:p>
    <w:p w14:paraId="1D9EC593"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o) Removal of cultural objects or elements of cultural sites from the country for any reason.</w:t>
      </w:r>
    </w:p>
    <w:p w14:paraId="6F0E4C66"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p) Digitization of cultural objects or collections, unless part of a larger, clearly defined conservation, documentation, or public diplomacy effort.</w:t>
      </w:r>
    </w:p>
    <w:p w14:paraId="1295E782"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q) Conservation plans or other studies, unless they are one component of a larger project to implement the results of those studies.</w:t>
      </w:r>
    </w:p>
    <w:p w14:paraId="1BDF22D9"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r) Cash reserves, endowments, or revolving funds (funds must be expended within the award period [up to five years] and may not be used to create an endowment or revolving fund).</w:t>
      </w:r>
    </w:p>
    <w:p w14:paraId="2EDAD33B"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s) Costs of fund-raising campaigns.</w:t>
      </w:r>
    </w:p>
    <w:p w14:paraId="1BE65DAC"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t) Contingency, unforeseen, or miscellaneous costs or fees.</w:t>
      </w:r>
    </w:p>
    <w:p w14:paraId="6FA43DCA"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lastRenderedPageBreak/>
        <w:t>u) Costs of work performed prior to announcement of the award unless allowable per 2 CFR 200.458 and approved by the Grants Officer.</w:t>
      </w:r>
    </w:p>
    <w:p w14:paraId="0AE351F7"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v) International travel, except in cases where travel is justifiable and integral to the success of the proposed project or to provide project leaders with learning and exchange opportunities with cultural heritage experts.</w:t>
      </w:r>
    </w:p>
    <w:p w14:paraId="4DCC33A4"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w) Individual projects costing less than US $10,000 or more than $500,000.</w:t>
      </w:r>
    </w:p>
    <w:p w14:paraId="2DE5FC49"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x) Independent U.S. projects overseas.</w:t>
      </w:r>
    </w:p>
    <w:p w14:paraId="1EB71EDC" w14:textId="77777777" w:rsidR="00A5007F" w:rsidRDefault="00A5007F" w:rsidP="002102E2">
      <w:pPr>
        <w:spacing w:after="0" w:line="360" w:lineRule="auto"/>
        <w:rPr>
          <w:rFonts w:ascii="Century Gothic" w:hAnsi="Century Gothic"/>
          <w:sz w:val="24"/>
          <w:szCs w:val="24"/>
        </w:rPr>
      </w:pPr>
    </w:p>
    <w:p w14:paraId="528AE268" w14:textId="2EAF0FD8"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1</w:t>
      </w:r>
      <w:r w:rsidR="00A5007F">
        <w:rPr>
          <w:rFonts w:ascii="Century Gothic" w:hAnsi="Century Gothic"/>
          <w:sz w:val="24"/>
          <w:szCs w:val="24"/>
        </w:rPr>
        <w:t>2</w:t>
      </w:r>
      <w:r w:rsidRPr="002102E2">
        <w:rPr>
          <w:rFonts w:ascii="Century Gothic" w:hAnsi="Century Gothic"/>
          <w:sz w:val="24"/>
          <w:szCs w:val="24"/>
        </w:rPr>
        <w:t>. Application Review Process: The Center will begin its formal review of concept notes in early 2022. The Center may deem concept notes and full applications ineligible if they do not fully adhere to AFCP 2022 Grants Program objectives, requirements, and other criteria stated herein.</w:t>
      </w:r>
    </w:p>
    <w:p w14:paraId="0CFFA46B" w14:textId="77777777" w:rsidR="00B47285" w:rsidRPr="002102E2" w:rsidRDefault="00B47285" w:rsidP="002102E2">
      <w:pPr>
        <w:spacing w:after="0" w:line="360" w:lineRule="auto"/>
        <w:rPr>
          <w:rFonts w:ascii="Century Gothic" w:hAnsi="Century Gothic"/>
          <w:sz w:val="24"/>
          <w:szCs w:val="24"/>
        </w:rPr>
      </w:pPr>
    </w:p>
    <w:p w14:paraId="351C7F22"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a) Concept note review and selection (Round 1): In consultation with the regional bureaus, ECA and the Center will determine which project ideas advance to the Round 2 application stage based on embassy and implementer responses to the Round 1 Concept Note requirements (para 11 above).</w:t>
      </w:r>
    </w:p>
    <w:p w14:paraId="2145FC8B" w14:textId="46535345"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In the spring of 2022, the Center will notify embassies of the Round 1 results and invite a subset to submit full project proposals to Round 2.</w:t>
      </w:r>
    </w:p>
    <w:p w14:paraId="05AE52F7" w14:textId="77777777" w:rsidR="00B47285" w:rsidRPr="002102E2" w:rsidRDefault="00B47285" w:rsidP="002102E2">
      <w:pPr>
        <w:spacing w:after="0" w:line="360" w:lineRule="auto"/>
        <w:rPr>
          <w:rFonts w:ascii="Century Gothic" w:hAnsi="Century Gothic"/>
          <w:sz w:val="24"/>
          <w:szCs w:val="24"/>
        </w:rPr>
      </w:pPr>
    </w:p>
    <w:p w14:paraId="14F61506" w14:textId="253F8009"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xml:space="preserve">c) Full application review and selection (Round 2): The Center will review and rate the full project applications to confirm the feasibility of the projects, ensure outlined activities and budget lines support stated goals, validate </w:t>
      </w:r>
      <w:r w:rsidR="009F4795">
        <w:rPr>
          <w:rFonts w:ascii="Century Gothic" w:hAnsi="Century Gothic"/>
          <w:sz w:val="24"/>
          <w:szCs w:val="24"/>
        </w:rPr>
        <w:t xml:space="preserve">Embassy </w:t>
      </w:r>
      <w:r w:rsidRPr="002102E2">
        <w:rPr>
          <w:rFonts w:ascii="Century Gothic" w:hAnsi="Century Gothic"/>
          <w:sz w:val="24"/>
          <w:szCs w:val="24"/>
        </w:rPr>
        <w:t>monitoring plans, and identify any remaining shortcomings, questions, or concerns. The Center will then convene a review panel to recommend applications for funding.</w:t>
      </w:r>
    </w:p>
    <w:p w14:paraId="101FAC4B" w14:textId="77777777" w:rsidR="00C33CD6" w:rsidRPr="002102E2" w:rsidRDefault="00C33CD6" w:rsidP="002102E2">
      <w:pPr>
        <w:spacing w:after="0" w:line="360" w:lineRule="auto"/>
        <w:rPr>
          <w:rFonts w:ascii="Century Gothic" w:hAnsi="Century Gothic"/>
          <w:sz w:val="24"/>
          <w:szCs w:val="24"/>
        </w:rPr>
      </w:pPr>
    </w:p>
    <w:p w14:paraId="3F914752"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d) Full application rating schema: The Center will rate full applications using the following point-based system:</w:t>
      </w:r>
    </w:p>
    <w:p w14:paraId="4369DAD9"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lastRenderedPageBreak/>
        <w:t>• Purpose, Importance (10 points max)</w:t>
      </w:r>
    </w:p>
    <w:p w14:paraId="4EFD8A4D"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Rationale for U.S. Support (10 points max)</w:t>
      </w:r>
    </w:p>
    <w:p w14:paraId="2B4CFD31"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Clarity and completeness of activity description for preservation work (15 points)</w:t>
      </w:r>
    </w:p>
    <w:p w14:paraId="439A1BFD"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Clarity and completeness of activity description for work to achieve broader goals (10 points)</w:t>
      </w:r>
    </w:p>
    <w:p w14:paraId="0A3094ED"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Clarity and completeness of applicant public awareness plans (5 points)</w:t>
      </w:r>
    </w:p>
    <w:p w14:paraId="04CDFDAD"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Clarity and completeness of embassy outreach plans (5 points)</w:t>
      </w:r>
    </w:p>
    <w:p w14:paraId="6D898473"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Maintenance Plan (10 points max)</w:t>
      </w:r>
    </w:p>
    <w:p w14:paraId="4FAB2F3B"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Budget and Budget Narrative (15 points max)</w:t>
      </w:r>
    </w:p>
    <w:p w14:paraId="753FC338" w14:textId="77777777" w:rsidR="002102E2" w:rsidRP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Supporting Materials (resumes, images, etc.; 10 points max)</w:t>
      </w:r>
    </w:p>
    <w:p w14:paraId="2A3144EA" w14:textId="2502C14A" w:rsidR="002102E2" w:rsidRDefault="002102E2" w:rsidP="002102E2">
      <w:pPr>
        <w:spacing w:after="0" w:line="360" w:lineRule="auto"/>
        <w:rPr>
          <w:rFonts w:ascii="Century Gothic" w:hAnsi="Century Gothic"/>
          <w:sz w:val="24"/>
          <w:szCs w:val="24"/>
        </w:rPr>
      </w:pPr>
      <w:r w:rsidRPr="002102E2">
        <w:rPr>
          <w:rFonts w:ascii="Century Gothic" w:hAnsi="Century Gothic"/>
          <w:sz w:val="24"/>
          <w:szCs w:val="24"/>
        </w:rPr>
        <w:t>• Innovative integration, collaboration, or coordination with other ECA and public diplomacy programs (10 points max)</w:t>
      </w:r>
      <w:r w:rsidR="00713DA0">
        <w:rPr>
          <w:rFonts w:ascii="Century Gothic" w:hAnsi="Century Gothic"/>
          <w:sz w:val="24"/>
          <w:szCs w:val="24"/>
        </w:rPr>
        <w:t>/Embassy</w:t>
      </w:r>
    </w:p>
    <w:p w14:paraId="63B485CB" w14:textId="77777777" w:rsidR="007155CD" w:rsidRPr="002102E2" w:rsidRDefault="007155CD" w:rsidP="002102E2">
      <w:pPr>
        <w:spacing w:after="0" w:line="360" w:lineRule="auto"/>
        <w:rPr>
          <w:rFonts w:ascii="Century Gothic" w:hAnsi="Century Gothic"/>
          <w:sz w:val="24"/>
          <w:szCs w:val="24"/>
        </w:rPr>
      </w:pPr>
    </w:p>
    <w:p w14:paraId="7C90D5F5" w14:textId="28C1B7E0" w:rsidR="002102E2" w:rsidRDefault="002102E2" w:rsidP="00D75AD7">
      <w:pPr>
        <w:spacing w:after="0" w:line="360" w:lineRule="auto"/>
        <w:rPr>
          <w:rFonts w:ascii="Century Gothic" w:hAnsi="Century Gothic"/>
          <w:sz w:val="24"/>
          <w:szCs w:val="24"/>
        </w:rPr>
      </w:pPr>
      <w:r w:rsidRPr="002102E2">
        <w:rPr>
          <w:rFonts w:ascii="Century Gothic" w:hAnsi="Century Gothic"/>
          <w:sz w:val="24"/>
          <w:szCs w:val="24"/>
        </w:rPr>
        <w:t>1</w:t>
      </w:r>
      <w:r w:rsidR="004B4290">
        <w:rPr>
          <w:rFonts w:ascii="Century Gothic" w:hAnsi="Century Gothic"/>
          <w:sz w:val="24"/>
          <w:szCs w:val="24"/>
        </w:rPr>
        <w:t>2</w:t>
      </w:r>
      <w:r w:rsidRPr="002102E2">
        <w:rPr>
          <w:rFonts w:ascii="Century Gothic" w:hAnsi="Century Gothic"/>
          <w:sz w:val="24"/>
          <w:szCs w:val="24"/>
        </w:rPr>
        <w:t xml:space="preserve">. Award Announcement: ECA will announce the results of the AFCP 2022 Grants Program once the Department’s FY 2022 funding levels are established and a congressional spend plan is approved. </w:t>
      </w:r>
      <w:r w:rsidR="00D75AD7">
        <w:rPr>
          <w:rFonts w:ascii="Century Gothic" w:hAnsi="Century Gothic"/>
          <w:sz w:val="24"/>
          <w:szCs w:val="24"/>
        </w:rPr>
        <w:t xml:space="preserve"> </w:t>
      </w:r>
    </w:p>
    <w:p w14:paraId="2AB7C95E" w14:textId="77777777" w:rsidR="00D75AD7" w:rsidRPr="002102E2" w:rsidRDefault="00D75AD7" w:rsidP="00D75AD7">
      <w:pPr>
        <w:spacing w:after="0" w:line="360" w:lineRule="auto"/>
        <w:rPr>
          <w:rFonts w:ascii="Century Gothic" w:hAnsi="Century Gothic"/>
          <w:sz w:val="24"/>
          <w:szCs w:val="24"/>
        </w:rPr>
      </w:pPr>
    </w:p>
    <w:p w14:paraId="2F20E26F" w14:textId="10937D8A" w:rsidR="002102E2" w:rsidRPr="002102E2" w:rsidRDefault="00D75AD7" w:rsidP="002102E2">
      <w:pPr>
        <w:spacing w:after="0" w:line="360" w:lineRule="auto"/>
        <w:rPr>
          <w:rFonts w:ascii="Century Gothic" w:hAnsi="Century Gothic"/>
          <w:sz w:val="24"/>
          <w:szCs w:val="24"/>
        </w:rPr>
      </w:pPr>
      <w:r>
        <w:rPr>
          <w:rFonts w:ascii="Century Gothic" w:hAnsi="Century Gothic"/>
          <w:sz w:val="24"/>
          <w:szCs w:val="24"/>
        </w:rPr>
        <w:t>1</w:t>
      </w:r>
      <w:r w:rsidR="002102E2" w:rsidRPr="002102E2">
        <w:rPr>
          <w:rFonts w:ascii="Century Gothic" w:hAnsi="Century Gothic"/>
          <w:sz w:val="24"/>
          <w:szCs w:val="24"/>
        </w:rPr>
        <w:t>3. SAM Registration: An implementing partner must be registered in the U.S. government’s System for Award Management (SAM) prior to receiving U.S, federal assistance unless they meet one of the exemptions specified in the Federal Assistance Directive (https://usdos.sharepoint.com/sites/A-OPE/FA/SitePages/Policy.aspx). The SAM registration process, which requires either a Commercial and Government Entity (CAGE) or a NATO Commercial and Government Entity (NCAGE) code, can take weeks or months, especially for non-U.S. applicants. Non-U.S. based applicants may request a NCAGE code at https://eportal.nspa.nato.int/AC135Public/scage/CageList.aspx. SAM will assign a Unique Entity Identifier (UEI) automatically to any entity registering or renewing its record in the system. Registration in SAM is free: https://sam.gov/.</w:t>
      </w:r>
    </w:p>
    <w:p w14:paraId="4B0DD5C6" w14:textId="045A5CDB" w:rsidR="0065732B" w:rsidRPr="002102E2" w:rsidRDefault="00D75AD7" w:rsidP="002102E2">
      <w:pPr>
        <w:spacing w:after="0" w:line="360" w:lineRule="auto"/>
        <w:rPr>
          <w:rFonts w:ascii="Century Gothic" w:hAnsi="Century Gothic"/>
          <w:sz w:val="24"/>
          <w:szCs w:val="24"/>
        </w:rPr>
      </w:pPr>
      <w:r>
        <w:rPr>
          <w:rFonts w:ascii="Century Gothic" w:hAnsi="Century Gothic"/>
          <w:sz w:val="24"/>
          <w:szCs w:val="24"/>
        </w:rPr>
        <w:lastRenderedPageBreak/>
        <w:t xml:space="preserve"> </w:t>
      </w:r>
    </w:p>
    <w:sectPr w:rsidR="0065732B" w:rsidRPr="002102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4154" w14:textId="77777777" w:rsidR="002102E2" w:rsidRDefault="002102E2" w:rsidP="002102E2">
      <w:pPr>
        <w:spacing w:after="0" w:line="240" w:lineRule="auto"/>
      </w:pPr>
      <w:r>
        <w:separator/>
      </w:r>
    </w:p>
  </w:endnote>
  <w:endnote w:type="continuationSeparator" w:id="0">
    <w:p w14:paraId="13B6FD4B" w14:textId="77777777" w:rsidR="002102E2" w:rsidRDefault="002102E2" w:rsidP="0021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3A42" w14:textId="73F59A5F" w:rsidR="002102E2" w:rsidRDefault="002102E2">
    <w:pPr>
      <w:pStyle w:val="Footer"/>
    </w:pPr>
    <w:r>
      <w:rPr>
        <w:noProof/>
      </w:rPr>
      <mc:AlternateContent>
        <mc:Choice Requires="wps">
          <w:drawing>
            <wp:anchor distT="0" distB="0" distL="114300" distR="114300" simplePos="0" relativeHeight="251659264" behindDoc="0" locked="0" layoutInCell="0" allowOverlap="1" wp14:anchorId="303022CD" wp14:editId="7080720A">
              <wp:simplePos x="0" y="0"/>
              <wp:positionH relativeFrom="page">
                <wp:posOffset>0</wp:posOffset>
              </wp:positionH>
              <wp:positionV relativeFrom="page">
                <wp:posOffset>9601200</wp:posOffset>
              </wp:positionV>
              <wp:extent cx="7772400" cy="266700"/>
              <wp:effectExtent l="0" t="0" r="0" b="0"/>
              <wp:wrapNone/>
              <wp:docPr id="1" name="MSIPCM03a24031aebed223ae39a8a8"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04F6F" w14:textId="1181E0EC" w:rsidR="002102E2" w:rsidRPr="002102E2" w:rsidRDefault="002102E2" w:rsidP="002102E2">
                          <w:pPr>
                            <w:spacing w:after="0"/>
                            <w:jc w:val="center"/>
                            <w:rPr>
                              <w:rFonts w:ascii="Times New Roman" w:hAnsi="Times New Roman" w:cs="Times New Roman"/>
                              <w:color w:val="000000"/>
                              <w:sz w:val="20"/>
                            </w:rPr>
                          </w:pPr>
                          <w:r w:rsidRPr="002102E2">
                            <w:rPr>
                              <w:rFonts w:ascii="Times New Roman" w:hAnsi="Times New Roman" w:cs="Times New Roman"/>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3022CD" id="_x0000_t202" coordsize="21600,21600" o:spt="202" path="m,l,21600r21600,l21600,xe">
              <v:stroke joinstyle="miter"/>
              <v:path gradientshapeok="t" o:connecttype="rect"/>
            </v:shapetype>
            <v:shape id="MSIPCM03a24031aebed223ae39a8a8"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" o:allowincell="f" filled="f" stroked="f" strokeweight=".5pt">
              <v:fill o:detectmouseclick="t"/>
              <v:textbox inset=",0,,0">
                <w:txbxContent>
                  <w:p w14:paraId="16F04F6F" w14:textId="1181E0EC" w:rsidR="002102E2" w:rsidRPr="002102E2" w:rsidRDefault="002102E2" w:rsidP="002102E2">
                    <w:pPr>
                      <w:spacing w:after="0"/>
                      <w:jc w:val="center"/>
                      <w:rPr>
                        <w:rFonts w:ascii="Times New Roman" w:hAnsi="Times New Roman" w:cs="Times New Roman"/>
                        <w:color w:val="000000"/>
                        <w:sz w:val="20"/>
                      </w:rPr>
                    </w:pPr>
                    <w:r w:rsidRPr="002102E2">
                      <w:rPr>
                        <w:rFonts w:ascii="Times New Roman" w:hAnsi="Times New Roman" w:cs="Times New Roman"/>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F2A5" w14:textId="77777777" w:rsidR="002102E2" w:rsidRDefault="002102E2" w:rsidP="002102E2">
      <w:pPr>
        <w:spacing w:after="0" w:line="240" w:lineRule="auto"/>
      </w:pPr>
      <w:r>
        <w:separator/>
      </w:r>
    </w:p>
  </w:footnote>
  <w:footnote w:type="continuationSeparator" w:id="0">
    <w:p w14:paraId="71AB6E34" w14:textId="77777777" w:rsidR="002102E2" w:rsidRDefault="002102E2" w:rsidP="002102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E2"/>
    <w:rsid w:val="00071A64"/>
    <w:rsid w:val="00116499"/>
    <w:rsid w:val="00164862"/>
    <w:rsid w:val="001A01E1"/>
    <w:rsid w:val="001F67DD"/>
    <w:rsid w:val="002102E2"/>
    <w:rsid w:val="002129FF"/>
    <w:rsid w:val="002A261F"/>
    <w:rsid w:val="003237B8"/>
    <w:rsid w:val="0042172B"/>
    <w:rsid w:val="004B4290"/>
    <w:rsid w:val="005C33A3"/>
    <w:rsid w:val="00645BB8"/>
    <w:rsid w:val="00652AA3"/>
    <w:rsid w:val="0065732B"/>
    <w:rsid w:val="0069316D"/>
    <w:rsid w:val="00713DA0"/>
    <w:rsid w:val="007155CD"/>
    <w:rsid w:val="007401A7"/>
    <w:rsid w:val="00782B79"/>
    <w:rsid w:val="007A2611"/>
    <w:rsid w:val="007F4656"/>
    <w:rsid w:val="0083167D"/>
    <w:rsid w:val="00894C6A"/>
    <w:rsid w:val="008A6BCC"/>
    <w:rsid w:val="008D340B"/>
    <w:rsid w:val="0097749C"/>
    <w:rsid w:val="009E58CE"/>
    <w:rsid w:val="009F4795"/>
    <w:rsid w:val="00A5007F"/>
    <w:rsid w:val="00B47285"/>
    <w:rsid w:val="00B819B1"/>
    <w:rsid w:val="00BF54DC"/>
    <w:rsid w:val="00C27A4F"/>
    <w:rsid w:val="00C33CD6"/>
    <w:rsid w:val="00C51CC2"/>
    <w:rsid w:val="00C72BB5"/>
    <w:rsid w:val="00CB03B7"/>
    <w:rsid w:val="00D00A9B"/>
    <w:rsid w:val="00D06EC0"/>
    <w:rsid w:val="00D75AD7"/>
    <w:rsid w:val="00E61AF2"/>
    <w:rsid w:val="00E70D09"/>
    <w:rsid w:val="00EA5977"/>
    <w:rsid w:val="00F329C1"/>
    <w:rsid w:val="00FA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A382D"/>
  <w15:chartTrackingRefBased/>
  <w15:docId w15:val="{86D666A8-9A8E-4674-9D72-5722351C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2E2"/>
    <w:pPr>
      <w:ind w:left="720"/>
      <w:contextualSpacing/>
    </w:pPr>
  </w:style>
  <w:style w:type="paragraph" w:styleId="Header">
    <w:name w:val="header"/>
    <w:basedOn w:val="Normal"/>
    <w:link w:val="HeaderChar"/>
    <w:uiPriority w:val="99"/>
    <w:unhideWhenUsed/>
    <w:rsid w:val="00210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2E2"/>
  </w:style>
  <w:style w:type="paragraph" w:styleId="Footer">
    <w:name w:val="footer"/>
    <w:basedOn w:val="Normal"/>
    <w:link w:val="FooterChar"/>
    <w:uiPriority w:val="99"/>
    <w:unhideWhenUsed/>
    <w:rsid w:val="00210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2582</Words>
  <Characters>14718</Characters>
  <Application>Microsoft Office Word</Application>
  <DocSecurity>0</DocSecurity>
  <Lines>122</Lines>
  <Paragraphs>34</Paragraphs>
  <ScaleCrop>false</ScaleCrop>
  <Company>Department of State</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Alexandrescu, Isabella (Bucharest)</dc:creator>
  <cp:keywords/>
  <dc:description/>
  <cp:lastModifiedBy>Alexandrescu, Isabella (Bucharest)</cp:lastModifiedBy>
  <cp:revision>50</cp:revision>
  <dcterms:created xsi:type="dcterms:W3CDTF">2021-11-05T08:59:00Z</dcterms:created>
  <dcterms:modified xsi:type="dcterms:W3CDTF">2021-11-05T10:23:00Z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alexandrescui@state.gov</vt:lpwstr>
  </property>
  <property fmtid="{D5CDD505-2E9C-101B-9397-08002B2CF9AE}" pid="5" name="MSIP_Label_0d3cdd76-ed86-4455-8be3-c27733367ace_SetDate">
    <vt:lpwstr>2021-11-05T09:03:53.4911309Z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4175fbd4-2e7e-4405-a3de-e60a78336b06</vt:lpwstr>
  </property>
  <property fmtid="{D5CDD505-2E9C-101B-9397-08002B2CF9AE}" pid="9" name="MSIP_Label_0d3cdd76-ed86-4455-8be3-c27733367ace_Extended_MSFT_Method">
    <vt:lpwstr>Manual</vt:lpwstr>
  </property>
  <property fmtid="{D5CDD505-2E9C-101B-9397-08002B2CF9AE}" pid="10" name="Sensitivity">
    <vt:lpwstr>SBU</vt:lpwstr>
  </property>
</Properties>
</file>