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B91E" w14:textId="5B09C5AC" w:rsidR="001427AF" w:rsidRDefault="001427AF" w:rsidP="00604192">
      <w:pPr>
        <w:pStyle w:val="Heading3"/>
        <w:spacing w:before="120" w:beforeAutospacing="0" w:after="120" w:afterAutospacing="0" w:line="360" w:lineRule="auto"/>
        <w:jc w:val="center"/>
        <w:textAlignment w:val="baseline"/>
        <w:rPr>
          <w:rFonts w:ascii="Trebuchet MS" w:hAnsi="Trebuchet MS"/>
          <w:i/>
          <w:iCs/>
          <w:sz w:val="24"/>
          <w:szCs w:val="24"/>
          <w:lang w:val="ro-RO"/>
        </w:rPr>
      </w:pPr>
      <w:r>
        <w:rPr>
          <w:noProof/>
        </w:rPr>
        <w:drawing>
          <wp:inline distT="0" distB="0" distL="0" distR="0" wp14:anchorId="20F14183" wp14:editId="626AF2E3">
            <wp:extent cx="5943600" cy="7823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2F476D0A" w14:textId="779479C8" w:rsidR="001427AF" w:rsidRPr="001427AF" w:rsidRDefault="001427AF" w:rsidP="001427AF">
      <w:pPr>
        <w:pStyle w:val="Heading3"/>
        <w:tabs>
          <w:tab w:val="left" w:pos="8145"/>
        </w:tabs>
        <w:spacing w:before="120" w:beforeAutospacing="0" w:after="120" w:afterAutospacing="0" w:line="360" w:lineRule="auto"/>
        <w:jc w:val="right"/>
        <w:textAlignment w:val="baseline"/>
        <w:rPr>
          <w:rFonts w:ascii="Trebuchet MS" w:hAnsi="Trebuchet MS"/>
          <w:sz w:val="24"/>
          <w:szCs w:val="24"/>
          <w:lang w:val="ro-RO"/>
        </w:rPr>
      </w:pPr>
      <w:r w:rsidRPr="001427AF">
        <w:rPr>
          <w:rFonts w:ascii="Trebuchet MS" w:hAnsi="Trebuchet MS"/>
          <w:sz w:val="24"/>
          <w:szCs w:val="24"/>
          <w:lang w:val="ro-RO"/>
        </w:rPr>
        <w:t>05 August 2021</w:t>
      </w:r>
    </w:p>
    <w:p w14:paraId="0D1D414E" w14:textId="77777777" w:rsidR="001427AF" w:rsidRDefault="001427AF" w:rsidP="001427AF">
      <w:pPr>
        <w:autoSpaceDE w:val="0"/>
        <w:autoSpaceDN w:val="0"/>
        <w:adjustRightInd w:val="0"/>
        <w:spacing w:before="240" w:after="0" w:line="240" w:lineRule="auto"/>
        <w:jc w:val="center"/>
        <w:rPr>
          <w:rFonts w:ascii="Trebuchet MS" w:hAnsi="Trebuchet MS"/>
          <w:b/>
          <w:bCs/>
          <w:sz w:val="24"/>
          <w:szCs w:val="24"/>
          <w:lang w:val="ro-RO"/>
        </w:rPr>
      </w:pPr>
      <w:r>
        <w:rPr>
          <w:rFonts w:ascii="Trebuchet MS" w:hAnsi="Trebuchet MS"/>
          <w:b/>
          <w:bCs/>
          <w:sz w:val="24"/>
          <w:szCs w:val="24"/>
          <w:lang w:val="ro-RO"/>
        </w:rPr>
        <w:t>COMUNICAT DE PRESĂ</w:t>
      </w:r>
    </w:p>
    <w:p w14:paraId="39850E8F" w14:textId="2C7F01CD" w:rsidR="008151C4" w:rsidRPr="00B24210" w:rsidRDefault="008151C4" w:rsidP="00604192">
      <w:pPr>
        <w:pStyle w:val="Heading3"/>
        <w:spacing w:before="120" w:beforeAutospacing="0" w:after="120" w:afterAutospacing="0" w:line="360" w:lineRule="auto"/>
        <w:jc w:val="center"/>
        <w:textAlignment w:val="baseline"/>
        <w:rPr>
          <w:rFonts w:ascii="Trebuchet MS" w:hAnsi="Trebuchet MS"/>
          <w:i/>
          <w:iCs/>
          <w:sz w:val="24"/>
          <w:szCs w:val="24"/>
          <w:lang w:val="ro-RO"/>
        </w:rPr>
      </w:pPr>
      <w:r w:rsidRPr="00B24210">
        <w:rPr>
          <w:rFonts w:ascii="Trebuchet MS" w:hAnsi="Trebuchet MS"/>
          <w:i/>
          <w:iCs/>
          <w:sz w:val="24"/>
          <w:szCs w:val="24"/>
          <w:lang w:val="ro-RO"/>
        </w:rPr>
        <w:t>Acordar</w:t>
      </w:r>
      <w:r w:rsidR="00BA2829">
        <w:rPr>
          <w:rFonts w:ascii="Trebuchet MS" w:hAnsi="Trebuchet MS"/>
          <w:i/>
          <w:iCs/>
          <w:sz w:val="24"/>
          <w:szCs w:val="24"/>
          <w:lang w:val="ro-RO"/>
        </w:rPr>
        <w:t>e</w:t>
      </w:r>
      <w:r w:rsidR="001427AF">
        <w:rPr>
          <w:rFonts w:ascii="Trebuchet MS" w:hAnsi="Trebuchet MS"/>
          <w:i/>
          <w:iCs/>
          <w:sz w:val="24"/>
          <w:szCs w:val="24"/>
          <w:lang w:val="ro-RO"/>
        </w:rPr>
        <w:t xml:space="preserve"> plăți în </w:t>
      </w:r>
      <w:r w:rsidRPr="00B24210">
        <w:rPr>
          <w:rFonts w:ascii="Trebuchet MS" w:hAnsi="Trebuchet MS"/>
          <w:i/>
          <w:iCs/>
          <w:sz w:val="24"/>
          <w:szCs w:val="24"/>
          <w:lang w:val="ro-RO"/>
        </w:rPr>
        <w:t xml:space="preserve">avans </w:t>
      </w:r>
      <w:r w:rsidR="001427AF">
        <w:rPr>
          <w:rFonts w:ascii="Trebuchet MS" w:hAnsi="Trebuchet MS"/>
          <w:i/>
          <w:iCs/>
          <w:sz w:val="24"/>
          <w:szCs w:val="24"/>
          <w:lang w:val="ro-RO"/>
        </w:rPr>
        <w:t xml:space="preserve">- </w:t>
      </w:r>
      <w:r w:rsidRPr="00B24210">
        <w:rPr>
          <w:rFonts w:ascii="Trebuchet MS" w:hAnsi="Trebuchet MS"/>
          <w:i/>
          <w:iCs/>
          <w:sz w:val="24"/>
          <w:szCs w:val="24"/>
          <w:lang w:val="ro-RO"/>
        </w:rPr>
        <w:t>Campania 2021</w:t>
      </w:r>
    </w:p>
    <w:p w14:paraId="408C503A" w14:textId="77777777" w:rsidR="008151C4" w:rsidRPr="00B24210" w:rsidRDefault="008151C4" w:rsidP="00604192">
      <w:pPr>
        <w:pStyle w:val="Heading3"/>
        <w:spacing w:before="120" w:beforeAutospacing="0" w:after="120" w:afterAutospacing="0" w:line="360" w:lineRule="auto"/>
        <w:jc w:val="center"/>
        <w:textAlignment w:val="baseline"/>
        <w:rPr>
          <w:rFonts w:ascii="Trebuchet MS" w:hAnsi="Trebuchet MS"/>
          <w:i/>
          <w:iCs/>
          <w:sz w:val="24"/>
          <w:szCs w:val="24"/>
          <w:lang w:val="ro-RO"/>
        </w:rPr>
      </w:pPr>
    </w:p>
    <w:p w14:paraId="61EE9776" w14:textId="675CBB87" w:rsidR="00387BF2" w:rsidRPr="001427AF" w:rsidRDefault="00387BF2" w:rsidP="001427AF">
      <w:pPr>
        <w:spacing w:before="120" w:after="0" w:line="240" w:lineRule="auto"/>
        <w:jc w:val="both"/>
        <w:rPr>
          <w:rFonts w:ascii="Trebuchet MS" w:hAnsi="Trebuchet MS"/>
          <w:b/>
          <w:bCs/>
          <w:i/>
          <w:iCs/>
          <w:sz w:val="24"/>
          <w:szCs w:val="24"/>
          <w:lang w:val="ro-RO"/>
        </w:rPr>
      </w:pPr>
      <w:r w:rsidRPr="00B24210">
        <w:rPr>
          <w:rFonts w:ascii="Trebuchet MS" w:hAnsi="Trebuchet MS"/>
          <w:sz w:val="24"/>
          <w:szCs w:val="24"/>
          <w:lang w:val="ro-RO"/>
        </w:rPr>
        <w:t xml:space="preserve">Agenția de Plăți și Intervenție pentru Agricultură (APIA) informează că începând cu data de </w:t>
      </w:r>
      <w:r w:rsidRPr="001427AF">
        <w:rPr>
          <w:rFonts w:ascii="Trebuchet MS" w:hAnsi="Trebuchet MS"/>
          <w:b/>
          <w:bCs/>
          <w:i/>
          <w:iCs/>
          <w:sz w:val="24"/>
          <w:szCs w:val="24"/>
          <w:lang w:val="ro-RO"/>
        </w:rPr>
        <w:t xml:space="preserve">18 octombrie 2021 va demara Campania de plată în avans </w:t>
      </w:r>
      <w:r w:rsidR="001427AF" w:rsidRPr="001427AF">
        <w:rPr>
          <w:rFonts w:ascii="Trebuchet MS" w:hAnsi="Trebuchet MS"/>
          <w:b/>
          <w:bCs/>
          <w:i/>
          <w:iCs/>
          <w:sz w:val="24"/>
          <w:szCs w:val="24"/>
          <w:lang w:val="ro-RO"/>
        </w:rPr>
        <w:t>pentru</w:t>
      </w:r>
      <w:r w:rsidRPr="001427AF">
        <w:rPr>
          <w:rFonts w:ascii="Trebuchet MS" w:hAnsi="Trebuchet MS"/>
          <w:b/>
          <w:bCs/>
          <w:i/>
          <w:iCs/>
          <w:sz w:val="24"/>
          <w:szCs w:val="24"/>
          <w:lang w:val="ro-RO"/>
        </w:rPr>
        <w:t xml:space="preserve"> fermieri</w:t>
      </w:r>
      <w:r w:rsidR="001427AF" w:rsidRPr="001427AF">
        <w:rPr>
          <w:rFonts w:ascii="Trebuchet MS" w:hAnsi="Trebuchet MS"/>
          <w:b/>
          <w:bCs/>
          <w:i/>
          <w:iCs/>
          <w:sz w:val="24"/>
          <w:szCs w:val="24"/>
          <w:lang w:val="ro-RO"/>
        </w:rPr>
        <w:t xml:space="preserve">i </w:t>
      </w:r>
      <w:r w:rsidRPr="001427AF">
        <w:rPr>
          <w:rFonts w:ascii="Trebuchet MS" w:hAnsi="Trebuchet MS"/>
          <w:b/>
          <w:bCs/>
          <w:i/>
          <w:iCs/>
          <w:sz w:val="24"/>
          <w:szCs w:val="24"/>
          <w:lang w:val="ro-RO"/>
        </w:rPr>
        <w:t xml:space="preserve">care au depus Cereri unice de plată în anul 2021. </w:t>
      </w:r>
    </w:p>
    <w:p w14:paraId="32BA2BD9" w14:textId="545C9DA3" w:rsidR="001A1E5A" w:rsidRPr="00B24210" w:rsidRDefault="00387BF2" w:rsidP="001427AF">
      <w:pPr>
        <w:pStyle w:val="Default"/>
        <w:spacing w:before="120"/>
        <w:jc w:val="both"/>
        <w:rPr>
          <w:rFonts w:ascii="Trebuchet MS" w:hAnsi="Trebuchet MS"/>
          <w:color w:val="auto"/>
          <w:lang w:val="ro-RO"/>
        </w:rPr>
      </w:pPr>
      <w:r w:rsidRPr="00B24210">
        <w:rPr>
          <w:rFonts w:ascii="Trebuchet MS" w:hAnsi="Trebuchet MS"/>
          <w:color w:val="auto"/>
          <w:lang w:val="ro-RO"/>
        </w:rPr>
        <w:t xml:space="preserve">În conformitate cu </w:t>
      </w:r>
      <w:r w:rsidRPr="00B24210">
        <w:rPr>
          <w:rFonts w:ascii="Trebuchet MS" w:hAnsi="Trebuchet MS"/>
          <w:i/>
          <w:iCs/>
          <w:color w:val="auto"/>
          <w:lang w:val="ro-RO"/>
        </w:rPr>
        <w:t>Regulamentul (UE) nr.1295 din 4 august 2021 de derogare, pentru anul 2021, de la articolul 75 alineatul (1) al treilea paragraf din Regulamentul (UE) nr. 1306/2013 al Parlamentului European și al Consiliului în ceea ce privește nivelul avansurilor pentru plățile directe și pentru măsurile de dezvoltare rurală legate de suprafață și de animale</w:t>
      </w:r>
      <w:r w:rsidRPr="00B24210">
        <w:rPr>
          <w:rFonts w:ascii="Trebuchet MS" w:hAnsi="Trebuchet MS"/>
          <w:color w:val="auto"/>
          <w:lang w:val="ro-RO"/>
        </w:rPr>
        <w:t>, statele membre pot plăti avansuri de până la 70 % în cazul plăților directe indicate în anexa I la Regulamentul (UE) nr. 1307/2013 și de până la 85 % în cazul sprijinului acordat în cadrul dezvoltării rurale menționat la articolul 67 alineatul (2) din Regulamentul (UE) nr. 1306/2013.</w:t>
      </w:r>
    </w:p>
    <w:p w14:paraId="2B30E0D3" w14:textId="7994D8A3" w:rsidR="008151C4" w:rsidRPr="00493740" w:rsidRDefault="00B24210" w:rsidP="001427AF">
      <w:pPr>
        <w:spacing w:before="120" w:after="0" w:line="240" w:lineRule="auto"/>
        <w:jc w:val="both"/>
        <w:rPr>
          <w:rFonts w:ascii="Trebuchet MS" w:hAnsi="Trebuchet MS"/>
          <w:b/>
          <w:bCs/>
          <w:i/>
          <w:iCs/>
          <w:sz w:val="24"/>
          <w:szCs w:val="24"/>
          <w:lang w:val="ro-RO"/>
        </w:rPr>
      </w:pPr>
      <w:r>
        <w:rPr>
          <w:rFonts w:ascii="Trebuchet MS" w:hAnsi="Trebuchet MS"/>
          <w:sz w:val="24"/>
          <w:szCs w:val="24"/>
          <w:lang w:val="ro-RO"/>
        </w:rPr>
        <w:t xml:space="preserve">Deoarece în acest an data de 16 </w:t>
      </w:r>
      <w:r w:rsidRPr="00B24210">
        <w:rPr>
          <w:rFonts w:ascii="Trebuchet MS" w:hAnsi="Trebuchet MS"/>
          <w:sz w:val="24"/>
          <w:szCs w:val="24"/>
          <w:lang w:val="ro-RO"/>
        </w:rPr>
        <w:t>octombrie 2021 coincide cu o zi nelucrătoare</w:t>
      </w:r>
      <w:r>
        <w:rPr>
          <w:rFonts w:ascii="Trebuchet MS" w:hAnsi="Trebuchet MS"/>
          <w:sz w:val="24"/>
          <w:szCs w:val="24"/>
          <w:lang w:val="ro-RO"/>
        </w:rPr>
        <w:t xml:space="preserve">, </w:t>
      </w:r>
      <w:r w:rsidRPr="00493740">
        <w:rPr>
          <w:rFonts w:ascii="Trebuchet MS" w:hAnsi="Trebuchet MS"/>
          <w:b/>
          <w:bCs/>
          <w:i/>
          <w:iCs/>
          <w:sz w:val="24"/>
          <w:szCs w:val="24"/>
          <w:lang w:val="ro-RO"/>
        </w:rPr>
        <w:t>autorizarea plăților în avans va demara în</w:t>
      </w:r>
      <w:r w:rsidR="00387BF2" w:rsidRPr="00493740">
        <w:rPr>
          <w:rFonts w:ascii="Trebuchet MS" w:hAnsi="Trebuchet MS"/>
          <w:b/>
          <w:bCs/>
          <w:i/>
          <w:iCs/>
          <w:sz w:val="24"/>
          <w:szCs w:val="24"/>
          <w:lang w:val="ro-RO"/>
        </w:rPr>
        <w:t xml:space="preserve"> data de 18 octombrie 2021</w:t>
      </w:r>
      <w:r w:rsidRPr="00493740">
        <w:rPr>
          <w:rFonts w:ascii="Trebuchet MS" w:hAnsi="Trebuchet MS"/>
          <w:b/>
          <w:bCs/>
          <w:i/>
          <w:iCs/>
          <w:sz w:val="24"/>
          <w:szCs w:val="24"/>
          <w:lang w:val="ro-RO"/>
        </w:rPr>
        <w:t xml:space="preserve">. </w:t>
      </w:r>
    </w:p>
    <w:p w14:paraId="0D2DD2F3" w14:textId="00A633B9" w:rsidR="00387BF2" w:rsidRPr="00B24210" w:rsidRDefault="00B24210" w:rsidP="001427AF">
      <w:pPr>
        <w:spacing w:before="120" w:after="0" w:line="240" w:lineRule="auto"/>
        <w:jc w:val="both"/>
        <w:rPr>
          <w:rFonts w:ascii="Trebuchet MS" w:hAnsi="Trebuchet MS"/>
          <w:sz w:val="24"/>
          <w:szCs w:val="24"/>
          <w:lang w:val="ro-RO"/>
        </w:rPr>
      </w:pPr>
      <w:r>
        <w:rPr>
          <w:rFonts w:ascii="Trebuchet MS" w:hAnsi="Trebuchet MS"/>
          <w:sz w:val="24"/>
          <w:szCs w:val="24"/>
          <w:lang w:val="ro-RO"/>
        </w:rPr>
        <w:t xml:space="preserve">Totodată, </w:t>
      </w:r>
      <w:r w:rsidR="00387BF2" w:rsidRPr="00B24210">
        <w:rPr>
          <w:rFonts w:ascii="Trebuchet MS" w:hAnsi="Trebuchet MS"/>
          <w:sz w:val="24"/>
          <w:szCs w:val="24"/>
          <w:lang w:val="ro-RO"/>
        </w:rPr>
        <w:t xml:space="preserve">precizăm faptul că până la data de </w:t>
      </w:r>
      <w:r w:rsidR="008151C4" w:rsidRPr="00B24210">
        <w:rPr>
          <w:rFonts w:ascii="Trebuchet MS" w:hAnsi="Trebuchet MS"/>
          <w:sz w:val="24"/>
          <w:szCs w:val="24"/>
          <w:lang w:val="ro-RO"/>
        </w:rPr>
        <w:t>15 octombrie</w:t>
      </w:r>
      <w:r w:rsidR="00387BF2" w:rsidRPr="00B24210">
        <w:rPr>
          <w:rFonts w:ascii="Trebuchet MS" w:hAnsi="Trebuchet MS"/>
          <w:sz w:val="24"/>
          <w:szCs w:val="24"/>
          <w:lang w:val="ro-RO"/>
        </w:rPr>
        <w:t xml:space="preserve"> 2021</w:t>
      </w:r>
      <w:r w:rsidR="008151C4" w:rsidRPr="00B24210">
        <w:rPr>
          <w:rFonts w:ascii="Trebuchet MS" w:hAnsi="Trebuchet MS"/>
          <w:sz w:val="24"/>
          <w:szCs w:val="24"/>
          <w:lang w:val="ro-RO"/>
        </w:rPr>
        <w:t xml:space="preserve"> </w:t>
      </w:r>
      <w:r w:rsidRPr="00B24210">
        <w:rPr>
          <w:rFonts w:ascii="Trebuchet MS" w:hAnsi="Trebuchet MS"/>
          <w:sz w:val="24"/>
          <w:szCs w:val="24"/>
          <w:lang w:val="ro-RO"/>
        </w:rPr>
        <w:t xml:space="preserve">vor fi finalizate </w:t>
      </w:r>
      <w:r w:rsidR="008151C4" w:rsidRPr="00B24210">
        <w:rPr>
          <w:rFonts w:ascii="Trebuchet MS" w:hAnsi="Trebuchet MS"/>
          <w:sz w:val="24"/>
          <w:szCs w:val="24"/>
          <w:lang w:val="ro-RO"/>
        </w:rPr>
        <w:t>controalele în teren</w:t>
      </w:r>
      <w:r>
        <w:rPr>
          <w:rFonts w:ascii="Trebuchet MS" w:hAnsi="Trebuchet MS"/>
          <w:sz w:val="24"/>
          <w:szCs w:val="24"/>
          <w:lang w:val="ro-RO"/>
        </w:rPr>
        <w:t>,</w:t>
      </w:r>
      <w:r w:rsidR="008151C4" w:rsidRPr="00B24210">
        <w:rPr>
          <w:rFonts w:ascii="Trebuchet MS" w:hAnsi="Trebuchet MS"/>
          <w:sz w:val="24"/>
          <w:szCs w:val="24"/>
          <w:lang w:val="ro-RO"/>
        </w:rPr>
        <w:t xml:space="preserve"> astfel încât </w:t>
      </w:r>
      <w:r>
        <w:rPr>
          <w:rFonts w:ascii="Trebuchet MS" w:hAnsi="Trebuchet MS"/>
          <w:sz w:val="24"/>
          <w:szCs w:val="24"/>
          <w:lang w:val="ro-RO"/>
        </w:rPr>
        <w:t xml:space="preserve">APIA </w:t>
      </w:r>
      <w:r w:rsidR="008151C4" w:rsidRPr="00B24210">
        <w:rPr>
          <w:rFonts w:ascii="Trebuchet MS" w:hAnsi="Trebuchet MS"/>
          <w:sz w:val="24"/>
          <w:szCs w:val="24"/>
          <w:lang w:val="ro-RO"/>
        </w:rPr>
        <w:t xml:space="preserve">să </w:t>
      </w:r>
      <w:r>
        <w:rPr>
          <w:rFonts w:ascii="Trebuchet MS" w:hAnsi="Trebuchet MS"/>
          <w:sz w:val="24"/>
          <w:szCs w:val="24"/>
          <w:lang w:val="ro-RO"/>
        </w:rPr>
        <w:t xml:space="preserve">poată </w:t>
      </w:r>
      <w:r w:rsidR="001427AF">
        <w:rPr>
          <w:rFonts w:ascii="Trebuchet MS" w:hAnsi="Trebuchet MS"/>
          <w:sz w:val="24"/>
          <w:szCs w:val="24"/>
          <w:lang w:val="ro-RO"/>
        </w:rPr>
        <w:t>efectua</w:t>
      </w:r>
      <w:r w:rsidR="008151C4" w:rsidRPr="00B24210">
        <w:rPr>
          <w:rFonts w:ascii="Trebuchet MS" w:hAnsi="Trebuchet MS"/>
          <w:sz w:val="24"/>
          <w:szCs w:val="24"/>
          <w:lang w:val="ro-RO"/>
        </w:rPr>
        <w:t xml:space="preserve"> plata în avans</w:t>
      </w:r>
      <w:r w:rsidR="00387BF2" w:rsidRPr="00B24210">
        <w:rPr>
          <w:rFonts w:ascii="Trebuchet MS" w:hAnsi="Trebuchet MS"/>
          <w:sz w:val="24"/>
          <w:szCs w:val="24"/>
          <w:lang w:val="ro-RO"/>
        </w:rPr>
        <w:t xml:space="preserve"> pentru toţi fermierii eligibili la plată</w:t>
      </w:r>
      <w:r w:rsidR="008151C4" w:rsidRPr="00B24210">
        <w:rPr>
          <w:rFonts w:ascii="Trebuchet MS" w:hAnsi="Trebuchet MS"/>
          <w:sz w:val="24"/>
          <w:szCs w:val="24"/>
          <w:lang w:val="ro-RO"/>
        </w:rPr>
        <w:t>.</w:t>
      </w:r>
    </w:p>
    <w:p w14:paraId="32027504" w14:textId="5B299ED5" w:rsidR="008151C4" w:rsidRPr="00B24210" w:rsidRDefault="008151C4" w:rsidP="001427AF">
      <w:pPr>
        <w:spacing w:before="120" w:after="0" w:line="240" w:lineRule="auto"/>
        <w:jc w:val="both"/>
        <w:rPr>
          <w:rFonts w:ascii="Trebuchet MS" w:hAnsi="Trebuchet MS"/>
          <w:sz w:val="24"/>
          <w:szCs w:val="24"/>
          <w:lang w:val="ro-RO"/>
        </w:rPr>
      </w:pPr>
      <w:r w:rsidRPr="00B24210">
        <w:rPr>
          <w:rFonts w:ascii="Trebuchet MS" w:hAnsi="Trebuchet MS"/>
          <w:sz w:val="24"/>
          <w:szCs w:val="24"/>
          <w:lang w:val="ro-RO"/>
        </w:rPr>
        <w:t xml:space="preserve">Agenţia de Plăţi şi Intervenţie pentru Agricultură îşi propune în perioada de acordare a avansului, </w:t>
      </w:r>
      <w:r w:rsidRPr="00493740">
        <w:rPr>
          <w:rFonts w:ascii="Trebuchet MS" w:hAnsi="Trebuchet MS"/>
          <w:b/>
          <w:bCs/>
          <w:i/>
          <w:iCs/>
          <w:sz w:val="24"/>
          <w:szCs w:val="24"/>
          <w:lang w:val="ro-RO"/>
        </w:rPr>
        <w:t>18 octombrie 2021 - 30 noiembrie 2021</w:t>
      </w:r>
      <w:r w:rsidR="00B24210">
        <w:rPr>
          <w:rFonts w:ascii="Trebuchet MS" w:hAnsi="Trebuchet MS"/>
          <w:sz w:val="24"/>
          <w:szCs w:val="24"/>
          <w:lang w:val="ro-RO"/>
        </w:rPr>
        <w:t>,</w:t>
      </w:r>
      <w:r w:rsidRPr="00B24210">
        <w:rPr>
          <w:rFonts w:ascii="Trebuchet MS" w:hAnsi="Trebuchet MS"/>
          <w:sz w:val="24"/>
          <w:szCs w:val="24"/>
          <w:lang w:val="ro-RO"/>
        </w:rPr>
        <w:t xml:space="preserve"> să finanţeze  fermierii cu o sumă de </w:t>
      </w:r>
      <w:r w:rsidRPr="00493740">
        <w:rPr>
          <w:rFonts w:ascii="Trebuchet MS" w:hAnsi="Trebuchet MS"/>
          <w:b/>
          <w:bCs/>
          <w:i/>
          <w:iCs/>
          <w:sz w:val="24"/>
          <w:szCs w:val="24"/>
          <w:lang w:val="ro-RO"/>
        </w:rPr>
        <w:t>peste 1 miliard de euro</w:t>
      </w:r>
      <w:r w:rsidRPr="00B24210">
        <w:rPr>
          <w:rFonts w:ascii="Trebuchet MS" w:hAnsi="Trebuchet MS"/>
          <w:sz w:val="24"/>
          <w:szCs w:val="24"/>
          <w:lang w:val="ro-RO"/>
        </w:rPr>
        <w:t>, atât pentru schemele finanţate din Fondul European de Garantare Agricolă</w:t>
      </w:r>
      <w:r w:rsidRPr="00B24210">
        <w:rPr>
          <w:rFonts w:ascii="Trebuchet MS" w:hAnsi="Trebuchet MS"/>
          <w:b/>
          <w:sz w:val="24"/>
          <w:szCs w:val="24"/>
          <w:lang w:val="ro-RO"/>
        </w:rPr>
        <w:t xml:space="preserve"> (</w:t>
      </w:r>
      <w:r w:rsidRPr="00B24210">
        <w:rPr>
          <w:rFonts w:ascii="Trebuchet MS" w:hAnsi="Trebuchet MS"/>
          <w:sz w:val="24"/>
          <w:szCs w:val="24"/>
          <w:lang w:val="ro-RO"/>
        </w:rPr>
        <w:t>FEGA) cât şi pentru măsurile finanţate din Fondul European Agricol pentru Dezvoltare Rurală (FEADR).</w:t>
      </w:r>
    </w:p>
    <w:p w14:paraId="234FF1E6" w14:textId="77777777" w:rsidR="00387BF2" w:rsidRPr="00B24210" w:rsidRDefault="009D32C0" w:rsidP="001427AF">
      <w:pPr>
        <w:spacing w:before="120" w:after="0" w:line="240" w:lineRule="auto"/>
        <w:jc w:val="both"/>
        <w:rPr>
          <w:rFonts w:ascii="Trebuchet MS" w:hAnsi="Trebuchet MS"/>
          <w:sz w:val="24"/>
          <w:szCs w:val="24"/>
          <w:lang w:val="ro-RO"/>
        </w:rPr>
      </w:pPr>
      <w:r w:rsidRPr="00B24210">
        <w:rPr>
          <w:rFonts w:ascii="Trebuchet MS" w:hAnsi="Trebuchet MS"/>
          <w:sz w:val="24"/>
          <w:szCs w:val="24"/>
          <w:lang w:val="ro-RO"/>
        </w:rPr>
        <w:t>Precizăm că plăţile pentru schemele finanțate din FEGA (Fondul European de Garantare Agricolă) se fac în lei, la cursul de schimb valutar stabilit de Banca Centrală Europeană în data de 30.09.20</w:t>
      </w:r>
      <w:r w:rsidR="00387BF2" w:rsidRPr="00B24210">
        <w:rPr>
          <w:rFonts w:ascii="Trebuchet MS" w:hAnsi="Trebuchet MS"/>
          <w:sz w:val="24"/>
          <w:szCs w:val="24"/>
          <w:lang w:val="ro-RO"/>
        </w:rPr>
        <w:t>21</w:t>
      </w:r>
      <w:r w:rsidRPr="00B24210">
        <w:rPr>
          <w:rFonts w:ascii="Trebuchet MS" w:hAnsi="Trebuchet MS"/>
          <w:sz w:val="24"/>
          <w:szCs w:val="24"/>
          <w:lang w:val="ro-RO"/>
        </w:rPr>
        <w:t xml:space="preserve"> şi publicat în Jurnalul Oficial al Uniunii Europene.</w:t>
      </w:r>
    </w:p>
    <w:p w14:paraId="02AA0120" w14:textId="031AFA5B" w:rsidR="00C84312" w:rsidRDefault="009D32C0" w:rsidP="001427AF">
      <w:pPr>
        <w:spacing w:before="120" w:after="0" w:line="240" w:lineRule="auto"/>
        <w:jc w:val="both"/>
        <w:rPr>
          <w:rFonts w:ascii="Trebuchet MS" w:hAnsi="Trebuchet MS"/>
          <w:sz w:val="24"/>
          <w:szCs w:val="24"/>
          <w:lang w:val="ro-RO"/>
        </w:rPr>
      </w:pPr>
      <w:r w:rsidRPr="00B24210">
        <w:rPr>
          <w:rFonts w:ascii="Trebuchet MS" w:hAnsi="Trebuchet MS"/>
          <w:sz w:val="24"/>
          <w:szCs w:val="24"/>
          <w:lang w:val="ro-RO"/>
        </w:rPr>
        <w:t>Plăţile pentru schemele finanțate din FEADR (Fondul European Agricol de Dezvoltare Rurală) se fac în lei, la cursul de schimb valutar de 4,</w:t>
      </w:r>
      <w:r w:rsidR="00387BF2" w:rsidRPr="00B24210">
        <w:rPr>
          <w:rFonts w:ascii="Trebuchet MS" w:hAnsi="Trebuchet MS"/>
          <w:sz w:val="24"/>
          <w:szCs w:val="24"/>
          <w:lang w:val="ro-RO"/>
        </w:rPr>
        <w:t>8683</w:t>
      </w:r>
      <w:r w:rsidRPr="00B24210">
        <w:rPr>
          <w:rFonts w:ascii="Trebuchet MS" w:hAnsi="Trebuchet MS"/>
          <w:sz w:val="24"/>
          <w:szCs w:val="24"/>
          <w:lang w:val="ro-RO"/>
        </w:rPr>
        <w:t xml:space="preserve"> lei/euro, stabilit de Banca Centrală Europeană în data de 31.12.20</w:t>
      </w:r>
      <w:r w:rsidR="009B1A99" w:rsidRPr="00B24210">
        <w:rPr>
          <w:rFonts w:ascii="Trebuchet MS" w:hAnsi="Trebuchet MS"/>
          <w:sz w:val="24"/>
          <w:szCs w:val="24"/>
          <w:lang w:val="ro-RO"/>
        </w:rPr>
        <w:t>2</w:t>
      </w:r>
      <w:r w:rsidR="008D2E57" w:rsidRPr="00B24210">
        <w:rPr>
          <w:rFonts w:ascii="Trebuchet MS" w:hAnsi="Trebuchet MS"/>
          <w:sz w:val="24"/>
          <w:szCs w:val="24"/>
          <w:lang w:val="ro-RO"/>
        </w:rPr>
        <w:t>0</w:t>
      </w:r>
      <w:r w:rsidRPr="00B24210">
        <w:rPr>
          <w:rFonts w:ascii="Trebuchet MS" w:hAnsi="Trebuchet MS"/>
          <w:sz w:val="24"/>
          <w:szCs w:val="24"/>
          <w:lang w:val="ro-RO"/>
        </w:rPr>
        <w:t xml:space="preserve"> şi publicat în Jurnalul Oficial al Uniunii Europene, seria C nr. 1/0</w:t>
      </w:r>
      <w:r w:rsidR="00630036" w:rsidRPr="00B24210">
        <w:rPr>
          <w:rFonts w:ascii="Trebuchet MS" w:hAnsi="Trebuchet MS"/>
          <w:sz w:val="24"/>
          <w:szCs w:val="24"/>
          <w:lang w:val="ro-RO"/>
        </w:rPr>
        <w:t>3</w:t>
      </w:r>
      <w:r w:rsidR="00B24210">
        <w:rPr>
          <w:rFonts w:ascii="Trebuchet MS" w:hAnsi="Trebuchet MS"/>
          <w:sz w:val="24"/>
          <w:szCs w:val="24"/>
          <w:lang w:val="ro-RO"/>
        </w:rPr>
        <w:t xml:space="preserve">. </w:t>
      </w:r>
    </w:p>
    <w:p w14:paraId="3D0326BD" w14:textId="0C8E538C" w:rsidR="001427AF" w:rsidRDefault="001427AF" w:rsidP="001427AF">
      <w:pPr>
        <w:spacing w:before="120" w:after="0" w:line="240" w:lineRule="auto"/>
        <w:jc w:val="both"/>
        <w:rPr>
          <w:rFonts w:ascii="Trebuchet MS" w:hAnsi="Trebuchet MS"/>
          <w:sz w:val="24"/>
          <w:szCs w:val="24"/>
          <w:lang w:val="ro-RO"/>
        </w:rPr>
      </w:pPr>
    </w:p>
    <w:p w14:paraId="4B27CAC5" w14:textId="05EC940A" w:rsidR="001427AF" w:rsidRDefault="001427AF" w:rsidP="001427AF">
      <w:pPr>
        <w:spacing w:before="120" w:after="0" w:line="240" w:lineRule="auto"/>
        <w:jc w:val="both"/>
        <w:rPr>
          <w:rFonts w:ascii="Trebuchet MS" w:hAnsi="Trebuchet MS"/>
          <w:b/>
          <w:bCs/>
          <w:sz w:val="24"/>
          <w:szCs w:val="24"/>
          <w:lang w:val="ro-RO"/>
        </w:rPr>
      </w:pPr>
      <w:r w:rsidRPr="001427AF">
        <w:rPr>
          <w:rFonts w:ascii="Trebuchet MS" w:hAnsi="Trebuchet MS"/>
          <w:b/>
          <w:bCs/>
          <w:sz w:val="24"/>
          <w:szCs w:val="24"/>
          <w:lang w:val="ro-RO"/>
        </w:rPr>
        <w:t>APIA mereu alături de fermieri!</w:t>
      </w:r>
    </w:p>
    <w:p w14:paraId="5FF80771" w14:textId="77777777" w:rsidR="001427AF" w:rsidRPr="001427AF" w:rsidRDefault="001427AF" w:rsidP="001427AF">
      <w:pPr>
        <w:spacing w:before="120" w:after="0" w:line="240" w:lineRule="auto"/>
        <w:jc w:val="both"/>
        <w:rPr>
          <w:rFonts w:ascii="Trebuchet MS" w:hAnsi="Trebuchet MS"/>
          <w:b/>
          <w:bCs/>
          <w:sz w:val="24"/>
          <w:szCs w:val="24"/>
          <w:lang w:val="ro-RO"/>
        </w:rPr>
      </w:pPr>
    </w:p>
    <w:p w14:paraId="10C4474B" w14:textId="77777777" w:rsidR="001427AF" w:rsidRDefault="001427AF" w:rsidP="001427AF">
      <w:pPr>
        <w:spacing w:before="360" w:after="0" w:line="240" w:lineRule="auto"/>
        <w:jc w:val="center"/>
        <w:rPr>
          <w:rFonts w:ascii="Trebuchet MS" w:hAnsi="Trebuchet MS"/>
          <w:b/>
          <w:sz w:val="24"/>
          <w:szCs w:val="24"/>
          <w:lang w:val="ro-RO"/>
        </w:rPr>
      </w:pPr>
      <w:r>
        <w:rPr>
          <w:rFonts w:ascii="Trebuchet MS" w:hAnsi="Trebuchet MS"/>
          <w:b/>
          <w:sz w:val="24"/>
          <w:szCs w:val="24"/>
          <w:lang w:val="ro-RO"/>
        </w:rPr>
        <w:t>SERVICIUL RELAŢII CU PUBLICUL ŞI COMUNICARE</w:t>
      </w:r>
    </w:p>
    <w:p w14:paraId="54EFBF64" w14:textId="77777777" w:rsidR="001427AF" w:rsidRDefault="001427AF" w:rsidP="001427AF">
      <w:pPr>
        <w:tabs>
          <w:tab w:val="left" w:pos="4095"/>
        </w:tabs>
        <w:spacing w:before="240" w:after="0" w:line="240" w:lineRule="auto"/>
        <w:rPr>
          <w:rFonts w:ascii="Trebuchet MS" w:hAnsi="Trebuchet MS"/>
          <w:sz w:val="24"/>
          <w:szCs w:val="24"/>
          <w:lang w:val="ro-RO"/>
        </w:rPr>
      </w:pPr>
    </w:p>
    <w:p w14:paraId="2892BD40" w14:textId="77777777" w:rsidR="001427AF" w:rsidRPr="00B24210" w:rsidRDefault="001427AF" w:rsidP="00B24210">
      <w:pPr>
        <w:spacing w:before="120" w:after="120" w:line="360" w:lineRule="auto"/>
        <w:jc w:val="both"/>
        <w:rPr>
          <w:rFonts w:ascii="Trebuchet MS" w:hAnsi="Trebuchet MS"/>
          <w:sz w:val="24"/>
          <w:szCs w:val="24"/>
          <w:lang w:val="ro-RO"/>
        </w:rPr>
      </w:pPr>
    </w:p>
    <w:sectPr w:rsidR="001427AF" w:rsidRPr="00B24210" w:rsidSect="00D06987">
      <w:pgSz w:w="12240" w:h="15840"/>
      <w:pgMar w:top="432" w:right="117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1D49"/>
    <w:multiLevelType w:val="hybridMultilevel"/>
    <w:tmpl w:val="5100DD7A"/>
    <w:lvl w:ilvl="0" w:tplc="AD368560">
      <w:start w:val="29"/>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CA04E2"/>
    <w:multiLevelType w:val="hybridMultilevel"/>
    <w:tmpl w:val="17209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E3B81"/>
    <w:multiLevelType w:val="hybridMultilevel"/>
    <w:tmpl w:val="2390A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E006F"/>
    <w:multiLevelType w:val="hybridMultilevel"/>
    <w:tmpl w:val="9036FE82"/>
    <w:lvl w:ilvl="0" w:tplc="04090005">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592C2F36"/>
    <w:multiLevelType w:val="hybridMultilevel"/>
    <w:tmpl w:val="C2FE1EA4"/>
    <w:lvl w:ilvl="0" w:tplc="D62866AE">
      <w:start w:val="1"/>
      <w:numFmt w:val="bullet"/>
      <w:lvlText w:val=""/>
      <w:lvlJc w:val="left"/>
      <w:pPr>
        <w:tabs>
          <w:tab w:val="num" w:pos="720"/>
        </w:tabs>
        <w:ind w:left="720" w:hanging="360"/>
      </w:pPr>
      <w:rPr>
        <w:rFonts w:ascii="Wingdings" w:hAnsi="Wingdings" w:hint="default"/>
      </w:rPr>
    </w:lvl>
    <w:lvl w:ilvl="1" w:tplc="B5503C30" w:tentative="1">
      <w:start w:val="1"/>
      <w:numFmt w:val="bullet"/>
      <w:lvlText w:val=""/>
      <w:lvlJc w:val="left"/>
      <w:pPr>
        <w:tabs>
          <w:tab w:val="num" w:pos="1440"/>
        </w:tabs>
        <w:ind w:left="1440" w:hanging="360"/>
      </w:pPr>
      <w:rPr>
        <w:rFonts w:ascii="Wingdings" w:hAnsi="Wingdings" w:hint="default"/>
      </w:rPr>
    </w:lvl>
    <w:lvl w:ilvl="2" w:tplc="4BDA7F6C" w:tentative="1">
      <w:start w:val="1"/>
      <w:numFmt w:val="bullet"/>
      <w:lvlText w:val=""/>
      <w:lvlJc w:val="left"/>
      <w:pPr>
        <w:tabs>
          <w:tab w:val="num" w:pos="2160"/>
        </w:tabs>
        <w:ind w:left="2160" w:hanging="360"/>
      </w:pPr>
      <w:rPr>
        <w:rFonts w:ascii="Wingdings" w:hAnsi="Wingdings" w:hint="default"/>
      </w:rPr>
    </w:lvl>
    <w:lvl w:ilvl="3" w:tplc="F5B0FB72" w:tentative="1">
      <w:start w:val="1"/>
      <w:numFmt w:val="bullet"/>
      <w:lvlText w:val=""/>
      <w:lvlJc w:val="left"/>
      <w:pPr>
        <w:tabs>
          <w:tab w:val="num" w:pos="2880"/>
        </w:tabs>
        <w:ind w:left="2880" w:hanging="360"/>
      </w:pPr>
      <w:rPr>
        <w:rFonts w:ascii="Wingdings" w:hAnsi="Wingdings" w:hint="default"/>
      </w:rPr>
    </w:lvl>
    <w:lvl w:ilvl="4" w:tplc="F5148246" w:tentative="1">
      <w:start w:val="1"/>
      <w:numFmt w:val="bullet"/>
      <w:lvlText w:val=""/>
      <w:lvlJc w:val="left"/>
      <w:pPr>
        <w:tabs>
          <w:tab w:val="num" w:pos="3600"/>
        </w:tabs>
        <w:ind w:left="3600" w:hanging="360"/>
      </w:pPr>
      <w:rPr>
        <w:rFonts w:ascii="Wingdings" w:hAnsi="Wingdings" w:hint="default"/>
      </w:rPr>
    </w:lvl>
    <w:lvl w:ilvl="5" w:tplc="398E898E" w:tentative="1">
      <w:start w:val="1"/>
      <w:numFmt w:val="bullet"/>
      <w:lvlText w:val=""/>
      <w:lvlJc w:val="left"/>
      <w:pPr>
        <w:tabs>
          <w:tab w:val="num" w:pos="4320"/>
        </w:tabs>
        <w:ind w:left="4320" w:hanging="360"/>
      </w:pPr>
      <w:rPr>
        <w:rFonts w:ascii="Wingdings" w:hAnsi="Wingdings" w:hint="default"/>
      </w:rPr>
    </w:lvl>
    <w:lvl w:ilvl="6" w:tplc="B5A02F64" w:tentative="1">
      <w:start w:val="1"/>
      <w:numFmt w:val="bullet"/>
      <w:lvlText w:val=""/>
      <w:lvlJc w:val="left"/>
      <w:pPr>
        <w:tabs>
          <w:tab w:val="num" w:pos="5040"/>
        </w:tabs>
        <w:ind w:left="5040" w:hanging="360"/>
      </w:pPr>
      <w:rPr>
        <w:rFonts w:ascii="Wingdings" w:hAnsi="Wingdings" w:hint="default"/>
      </w:rPr>
    </w:lvl>
    <w:lvl w:ilvl="7" w:tplc="75188348" w:tentative="1">
      <w:start w:val="1"/>
      <w:numFmt w:val="bullet"/>
      <w:lvlText w:val=""/>
      <w:lvlJc w:val="left"/>
      <w:pPr>
        <w:tabs>
          <w:tab w:val="num" w:pos="5760"/>
        </w:tabs>
        <w:ind w:left="5760" w:hanging="360"/>
      </w:pPr>
      <w:rPr>
        <w:rFonts w:ascii="Wingdings" w:hAnsi="Wingdings" w:hint="default"/>
      </w:rPr>
    </w:lvl>
    <w:lvl w:ilvl="8" w:tplc="F0126D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86EE7"/>
    <w:multiLevelType w:val="hybridMultilevel"/>
    <w:tmpl w:val="CE96E824"/>
    <w:lvl w:ilvl="0" w:tplc="0409000B">
      <w:start w:val="1"/>
      <w:numFmt w:val="bullet"/>
      <w:lvlText w:val=""/>
      <w:lvlJc w:val="left"/>
      <w:pPr>
        <w:ind w:left="525" w:hanging="360"/>
      </w:pPr>
      <w:rPr>
        <w:rFonts w:ascii="Wingdings" w:hAnsi="Wingding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58"/>
    <w:rsid w:val="000020CE"/>
    <w:rsid w:val="00005FEB"/>
    <w:rsid w:val="0002504C"/>
    <w:rsid w:val="00025A85"/>
    <w:rsid w:val="000320B7"/>
    <w:rsid w:val="000417D5"/>
    <w:rsid w:val="00045DBE"/>
    <w:rsid w:val="0008467A"/>
    <w:rsid w:val="0009553A"/>
    <w:rsid w:val="00097A23"/>
    <w:rsid w:val="000B5750"/>
    <w:rsid w:val="000C57A3"/>
    <w:rsid w:val="000C6395"/>
    <w:rsid w:val="000D255D"/>
    <w:rsid w:val="001014E3"/>
    <w:rsid w:val="0011416E"/>
    <w:rsid w:val="00125E45"/>
    <w:rsid w:val="001427AF"/>
    <w:rsid w:val="00146B56"/>
    <w:rsid w:val="001541A8"/>
    <w:rsid w:val="001576A3"/>
    <w:rsid w:val="00173571"/>
    <w:rsid w:val="00176C29"/>
    <w:rsid w:val="001822E3"/>
    <w:rsid w:val="001A1B5C"/>
    <w:rsid w:val="001A1E5A"/>
    <w:rsid w:val="001A5E6E"/>
    <w:rsid w:val="001B517D"/>
    <w:rsid w:val="002005EE"/>
    <w:rsid w:val="00227985"/>
    <w:rsid w:val="00236B01"/>
    <w:rsid w:val="00236F58"/>
    <w:rsid w:val="00281A55"/>
    <w:rsid w:val="00295288"/>
    <w:rsid w:val="002A2777"/>
    <w:rsid w:val="002C383A"/>
    <w:rsid w:val="002E5BDB"/>
    <w:rsid w:val="002F4BED"/>
    <w:rsid w:val="003020FA"/>
    <w:rsid w:val="00316A88"/>
    <w:rsid w:val="0038052D"/>
    <w:rsid w:val="0038127B"/>
    <w:rsid w:val="00387BF2"/>
    <w:rsid w:val="003B3785"/>
    <w:rsid w:val="003C767C"/>
    <w:rsid w:val="003F6B1E"/>
    <w:rsid w:val="003F6D55"/>
    <w:rsid w:val="004060EC"/>
    <w:rsid w:val="0041183B"/>
    <w:rsid w:val="0041514B"/>
    <w:rsid w:val="004332AD"/>
    <w:rsid w:val="00434C8E"/>
    <w:rsid w:val="00435C97"/>
    <w:rsid w:val="004430CF"/>
    <w:rsid w:val="00451E06"/>
    <w:rsid w:val="00465BFC"/>
    <w:rsid w:val="00466BC1"/>
    <w:rsid w:val="00480FE2"/>
    <w:rsid w:val="00493740"/>
    <w:rsid w:val="004977F9"/>
    <w:rsid w:val="004B59C3"/>
    <w:rsid w:val="004D0F95"/>
    <w:rsid w:val="004D19D7"/>
    <w:rsid w:val="004D6226"/>
    <w:rsid w:val="00511E3D"/>
    <w:rsid w:val="00537A50"/>
    <w:rsid w:val="00545029"/>
    <w:rsid w:val="005679AA"/>
    <w:rsid w:val="00592336"/>
    <w:rsid w:val="00595323"/>
    <w:rsid w:val="00595F27"/>
    <w:rsid w:val="005C5902"/>
    <w:rsid w:val="005F23CF"/>
    <w:rsid w:val="00604192"/>
    <w:rsid w:val="00630036"/>
    <w:rsid w:val="0067211D"/>
    <w:rsid w:val="0067575F"/>
    <w:rsid w:val="006773DE"/>
    <w:rsid w:val="0067755F"/>
    <w:rsid w:val="0069672E"/>
    <w:rsid w:val="006B1845"/>
    <w:rsid w:val="006E4A7C"/>
    <w:rsid w:val="00717B44"/>
    <w:rsid w:val="007203BE"/>
    <w:rsid w:val="00770CD9"/>
    <w:rsid w:val="00775D6B"/>
    <w:rsid w:val="00792EB5"/>
    <w:rsid w:val="00793895"/>
    <w:rsid w:val="007B2383"/>
    <w:rsid w:val="007B3E17"/>
    <w:rsid w:val="0080631A"/>
    <w:rsid w:val="00812F86"/>
    <w:rsid w:val="008151C4"/>
    <w:rsid w:val="008B25B3"/>
    <w:rsid w:val="008D261E"/>
    <w:rsid w:val="008D2E57"/>
    <w:rsid w:val="00957B45"/>
    <w:rsid w:val="00976EFF"/>
    <w:rsid w:val="0098152F"/>
    <w:rsid w:val="0099670B"/>
    <w:rsid w:val="009B04C9"/>
    <w:rsid w:val="009B1A99"/>
    <w:rsid w:val="009B1D43"/>
    <w:rsid w:val="009B7998"/>
    <w:rsid w:val="009D32C0"/>
    <w:rsid w:val="009E1A11"/>
    <w:rsid w:val="009F13E6"/>
    <w:rsid w:val="00A13ECB"/>
    <w:rsid w:val="00A20E7B"/>
    <w:rsid w:val="00A23636"/>
    <w:rsid w:val="00A2448F"/>
    <w:rsid w:val="00A5162B"/>
    <w:rsid w:val="00A65FDB"/>
    <w:rsid w:val="00A936D6"/>
    <w:rsid w:val="00A96C51"/>
    <w:rsid w:val="00AB41A7"/>
    <w:rsid w:val="00AC3207"/>
    <w:rsid w:val="00AC4AB3"/>
    <w:rsid w:val="00AC54B1"/>
    <w:rsid w:val="00AD30FA"/>
    <w:rsid w:val="00B16EAA"/>
    <w:rsid w:val="00B20196"/>
    <w:rsid w:val="00B24210"/>
    <w:rsid w:val="00B33181"/>
    <w:rsid w:val="00B533BE"/>
    <w:rsid w:val="00B95BF8"/>
    <w:rsid w:val="00B973B1"/>
    <w:rsid w:val="00BA2829"/>
    <w:rsid w:val="00BA7344"/>
    <w:rsid w:val="00BB593C"/>
    <w:rsid w:val="00BD6D6C"/>
    <w:rsid w:val="00C1713F"/>
    <w:rsid w:val="00C77BDE"/>
    <w:rsid w:val="00C84312"/>
    <w:rsid w:val="00C923C8"/>
    <w:rsid w:val="00CC6012"/>
    <w:rsid w:val="00CE0E02"/>
    <w:rsid w:val="00CF02AA"/>
    <w:rsid w:val="00CF7120"/>
    <w:rsid w:val="00D05C36"/>
    <w:rsid w:val="00D06987"/>
    <w:rsid w:val="00D14855"/>
    <w:rsid w:val="00D14E5D"/>
    <w:rsid w:val="00D63B13"/>
    <w:rsid w:val="00D7781E"/>
    <w:rsid w:val="00DA6827"/>
    <w:rsid w:val="00DB2AB4"/>
    <w:rsid w:val="00DB43FF"/>
    <w:rsid w:val="00DB6A0D"/>
    <w:rsid w:val="00DC0AD6"/>
    <w:rsid w:val="00DC5836"/>
    <w:rsid w:val="00DE42C1"/>
    <w:rsid w:val="00E131EC"/>
    <w:rsid w:val="00E41714"/>
    <w:rsid w:val="00E6454B"/>
    <w:rsid w:val="00E64A6A"/>
    <w:rsid w:val="00E658D1"/>
    <w:rsid w:val="00E70C24"/>
    <w:rsid w:val="00EA6819"/>
    <w:rsid w:val="00EC61D9"/>
    <w:rsid w:val="00EE0A07"/>
    <w:rsid w:val="00F1081C"/>
    <w:rsid w:val="00F10F4F"/>
    <w:rsid w:val="00F26FDF"/>
    <w:rsid w:val="00F2765E"/>
    <w:rsid w:val="00F31E67"/>
    <w:rsid w:val="00F33E15"/>
    <w:rsid w:val="00F35BFB"/>
    <w:rsid w:val="00F363DB"/>
    <w:rsid w:val="00F412C7"/>
    <w:rsid w:val="00F54BB6"/>
    <w:rsid w:val="00F66EE6"/>
    <w:rsid w:val="00F7546E"/>
    <w:rsid w:val="00F8285B"/>
    <w:rsid w:val="00F92705"/>
    <w:rsid w:val="00F93298"/>
    <w:rsid w:val="00F966EB"/>
    <w:rsid w:val="00FB524D"/>
    <w:rsid w:val="00FD4D58"/>
    <w:rsid w:val="00FD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AE80"/>
  <w15:docId w15:val="{5FF20B53-19CA-4813-84C5-5821C0A0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9"/>
    <w:rPr>
      <w:rFonts w:ascii="Calibri" w:hAnsi="Calibri" w:cs="Times New Roman"/>
    </w:rPr>
  </w:style>
  <w:style w:type="paragraph" w:styleId="Heading3">
    <w:name w:val="heading 3"/>
    <w:basedOn w:val="Normal"/>
    <w:link w:val="Heading3Char"/>
    <w:uiPriority w:val="9"/>
    <w:unhideWhenUsed/>
    <w:qFormat/>
    <w:rsid w:val="00BD6D6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9B04C9"/>
  </w:style>
  <w:style w:type="character" w:customStyle="1" w:styleId="rvts7">
    <w:name w:val="rvts7"/>
    <w:basedOn w:val="DefaultParagraphFont"/>
    <w:rsid w:val="00595F27"/>
  </w:style>
  <w:style w:type="paragraph" w:styleId="BalloonText">
    <w:name w:val="Balloon Text"/>
    <w:basedOn w:val="Normal"/>
    <w:link w:val="BalloonTextChar"/>
    <w:uiPriority w:val="99"/>
    <w:semiHidden/>
    <w:unhideWhenUsed/>
    <w:rsid w:val="0059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27"/>
    <w:rPr>
      <w:rFonts w:ascii="Segoe UI" w:hAnsi="Segoe UI" w:cs="Segoe UI"/>
      <w:sz w:val="18"/>
      <w:szCs w:val="18"/>
    </w:rPr>
  </w:style>
  <w:style w:type="character" w:customStyle="1" w:styleId="Heading3Char">
    <w:name w:val="Heading 3 Char"/>
    <w:basedOn w:val="DefaultParagraphFont"/>
    <w:link w:val="Heading3"/>
    <w:uiPriority w:val="9"/>
    <w:rsid w:val="00BD6D6C"/>
    <w:rPr>
      <w:rFonts w:ascii="Times New Roman" w:eastAsia="Times New Roman" w:hAnsi="Times New Roman" w:cs="Times New Roman"/>
      <w:b/>
      <w:bCs/>
      <w:sz w:val="27"/>
      <w:szCs w:val="27"/>
    </w:rPr>
  </w:style>
  <w:style w:type="paragraph" w:styleId="NormalWeb">
    <w:name w:val="Normal (Web)"/>
    <w:basedOn w:val="Normal"/>
    <w:uiPriority w:val="99"/>
    <w:unhideWhenUsed/>
    <w:rsid w:val="00BD6D6C"/>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35BFB"/>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F35BFB"/>
    <w:rPr>
      <w:rFonts w:ascii="Consolas" w:eastAsiaTheme="minorEastAsia" w:hAnsi="Consolas"/>
      <w:sz w:val="21"/>
      <w:szCs w:val="21"/>
    </w:rPr>
  </w:style>
  <w:style w:type="paragraph" w:customStyle="1" w:styleId="Default">
    <w:name w:val="Default"/>
    <w:basedOn w:val="Normal"/>
    <w:rsid w:val="00B16EAA"/>
    <w:pPr>
      <w:autoSpaceDE w:val="0"/>
      <w:autoSpaceDN w:val="0"/>
      <w:spacing w:after="0" w:line="240" w:lineRule="auto"/>
    </w:pPr>
    <w:rPr>
      <w:rFonts w:ascii="EUAlbertina" w:hAnsi="EUAlbertina"/>
      <w:color w:val="000000"/>
      <w:sz w:val="24"/>
      <w:szCs w:val="24"/>
    </w:rPr>
  </w:style>
  <w:style w:type="character" w:styleId="Emphasis">
    <w:name w:val="Emphasis"/>
    <w:uiPriority w:val="20"/>
    <w:qFormat/>
    <w:rsid w:val="0008467A"/>
    <w:rPr>
      <w:i/>
      <w:iCs/>
    </w:rPr>
  </w:style>
  <w:style w:type="character" w:styleId="Strong">
    <w:name w:val="Strong"/>
    <w:uiPriority w:val="22"/>
    <w:qFormat/>
    <w:rsid w:val="0008467A"/>
    <w:rPr>
      <w:b/>
      <w:bCs/>
    </w:rPr>
  </w:style>
  <w:style w:type="table" w:styleId="TableGrid">
    <w:name w:val="Table Grid"/>
    <w:basedOn w:val="TableNormal"/>
    <w:uiPriority w:val="39"/>
    <w:rsid w:val="00084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819"/>
    <w:pPr>
      <w:spacing w:after="0" w:line="240" w:lineRule="auto"/>
      <w:ind w:left="720"/>
      <w:contextualSpacing/>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84">
      <w:bodyDiv w:val="1"/>
      <w:marLeft w:val="0"/>
      <w:marRight w:val="0"/>
      <w:marTop w:val="0"/>
      <w:marBottom w:val="0"/>
      <w:divBdr>
        <w:top w:val="none" w:sz="0" w:space="0" w:color="auto"/>
        <w:left w:val="none" w:sz="0" w:space="0" w:color="auto"/>
        <w:bottom w:val="none" w:sz="0" w:space="0" w:color="auto"/>
        <w:right w:val="none" w:sz="0" w:space="0" w:color="auto"/>
      </w:divBdr>
    </w:div>
    <w:div w:id="13266162">
      <w:bodyDiv w:val="1"/>
      <w:marLeft w:val="0"/>
      <w:marRight w:val="0"/>
      <w:marTop w:val="0"/>
      <w:marBottom w:val="0"/>
      <w:divBdr>
        <w:top w:val="none" w:sz="0" w:space="0" w:color="auto"/>
        <w:left w:val="none" w:sz="0" w:space="0" w:color="auto"/>
        <w:bottom w:val="none" w:sz="0" w:space="0" w:color="auto"/>
        <w:right w:val="none" w:sz="0" w:space="0" w:color="auto"/>
      </w:divBdr>
    </w:div>
    <w:div w:id="286663348">
      <w:bodyDiv w:val="1"/>
      <w:marLeft w:val="0"/>
      <w:marRight w:val="0"/>
      <w:marTop w:val="0"/>
      <w:marBottom w:val="0"/>
      <w:divBdr>
        <w:top w:val="none" w:sz="0" w:space="0" w:color="auto"/>
        <w:left w:val="none" w:sz="0" w:space="0" w:color="auto"/>
        <w:bottom w:val="none" w:sz="0" w:space="0" w:color="auto"/>
        <w:right w:val="none" w:sz="0" w:space="0" w:color="auto"/>
      </w:divBdr>
    </w:div>
    <w:div w:id="351227585">
      <w:bodyDiv w:val="1"/>
      <w:marLeft w:val="0"/>
      <w:marRight w:val="0"/>
      <w:marTop w:val="0"/>
      <w:marBottom w:val="0"/>
      <w:divBdr>
        <w:top w:val="none" w:sz="0" w:space="0" w:color="auto"/>
        <w:left w:val="none" w:sz="0" w:space="0" w:color="auto"/>
        <w:bottom w:val="none" w:sz="0" w:space="0" w:color="auto"/>
        <w:right w:val="none" w:sz="0" w:space="0" w:color="auto"/>
      </w:divBdr>
    </w:div>
    <w:div w:id="362942316">
      <w:bodyDiv w:val="1"/>
      <w:marLeft w:val="0"/>
      <w:marRight w:val="0"/>
      <w:marTop w:val="0"/>
      <w:marBottom w:val="0"/>
      <w:divBdr>
        <w:top w:val="none" w:sz="0" w:space="0" w:color="auto"/>
        <w:left w:val="none" w:sz="0" w:space="0" w:color="auto"/>
        <w:bottom w:val="none" w:sz="0" w:space="0" w:color="auto"/>
        <w:right w:val="none" w:sz="0" w:space="0" w:color="auto"/>
      </w:divBdr>
    </w:div>
    <w:div w:id="368726965">
      <w:bodyDiv w:val="1"/>
      <w:marLeft w:val="0"/>
      <w:marRight w:val="0"/>
      <w:marTop w:val="0"/>
      <w:marBottom w:val="0"/>
      <w:divBdr>
        <w:top w:val="none" w:sz="0" w:space="0" w:color="auto"/>
        <w:left w:val="none" w:sz="0" w:space="0" w:color="auto"/>
        <w:bottom w:val="none" w:sz="0" w:space="0" w:color="auto"/>
        <w:right w:val="none" w:sz="0" w:space="0" w:color="auto"/>
      </w:divBdr>
    </w:div>
    <w:div w:id="546453183">
      <w:bodyDiv w:val="1"/>
      <w:marLeft w:val="0"/>
      <w:marRight w:val="0"/>
      <w:marTop w:val="0"/>
      <w:marBottom w:val="0"/>
      <w:divBdr>
        <w:top w:val="none" w:sz="0" w:space="0" w:color="auto"/>
        <w:left w:val="none" w:sz="0" w:space="0" w:color="auto"/>
        <w:bottom w:val="none" w:sz="0" w:space="0" w:color="auto"/>
        <w:right w:val="none" w:sz="0" w:space="0" w:color="auto"/>
      </w:divBdr>
    </w:div>
    <w:div w:id="695696879">
      <w:bodyDiv w:val="1"/>
      <w:marLeft w:val="0"/>
      <w:marRight w:val="0"/>
      <w:marTop w:val="0"/>
      <w:marBottom w:val="0"/>
      <w:divBdr>
        <w:top w:val="none" w:sz="0" w:space="0" w:color="auto"/>
        <w:left w:val="none" w:sz="0" w:space="0" w:color="auto"/>
        <w:bottom w:val="none" w:sz="0" w:space="0" w:color="auto"/>
        <w:right w:val="none" w:sz="0" w:space="0" w:color="auto"/>
      </w:divBdr>
    </w:div>
    <w:div w:id="782766104">
      <w:bodyDiv w:val="1"/>
      <w:marLeft w:val="0"/>
      <w:marRight w:val="0"/>
      <w:marTop w:val="0"/>
      <w:marBottom w:val="0"/>
      <w:divBdr>
        <w:top w:val="none" w:sz="0" w:space="0" w:color="auto"/>
        <w:left w:val="none" w:sz="0" w:space="0" w:color="auto"/>
        <w:bottom w:val="none" w:sz="0" w:space="0" w:color="auto"/>
        <w:right w:val="none" w:sz="0" w:space="0" w:color="auto"/>
      </w:divBdr>
    </w:div>
    <w:div w:id="982272123">
      <w:bodyDiv w:val="1"/>
      <w:marLeft w:val="0"/>
      <w:marRight w:val="0"/>
      <w:marTop w:val="0"/>
      <w:marBottom w:val="0"/>
      <w:divBdr>
        <w:top w:val="none" w:sz="0" w:space="0" w:color="auto"/>
        <w:left w:val="none" w:sz="0" w:space="0" w:color="auto"/>
        <w:bottom w:val="none" w:sz="0" w:space="0" w:color="auto"/>
        <w:right w:val="none" w:sz="0" w:space="0" w:color="auto"/>
      </w:divBdr>
    </w:div>
    <w:div w:id="991373284">
      <w:bodyDiv w:val="1"/>
      <w:marLeft w:val="0"/>
      <w:marRight w:val="0"/>
      <w:marTop w:val="0"/>
      <w:marBottom w:val="0"/>
      <w:divBdr>
        <w:top w:val="none" w:sz="0" w:space="0" w:color="auto"/>
        <w:left w:val="none" w:sz="0" w:space="0" w:color="auto"/>
        <w:bottom w:val="none" w:sz="0" w:space="0" w:color="auto"/>
        <w:right w:val="none" w:sz="0" w:space="0" w:color="auto"/>
      </w:divBdr>
    </w:div>
    <w:div w:id="993803768">
      <w:bodyDiv w:val="1"/>
      <w:marLeft w:val="0"/>
      <w:marRight w:val="0"/>
      <w:marTop w:val="0"/>
      <w:marBottom w:val="0"/>
      <w:divBdr>
        <w:top w:val="none" w:sz="0" w:space="0" w:color="auto"/>
        <w:left w:val="none" w:sz="0" w:space="0" w:color="auto"/>
        <w:bottom w:val="none" w:sz="0" w:space="0" w:color="auto"/>
        <w:right w:val="none" w:sz="0" w:space="0" w:color="auto"/>
      </w:divBdr>
    </w:div>
    <w:div w:id="1099065376">
      <w:bodyDiv w:val="1"/>
      <w:marLeft w:val="0"/>
      <w:marRight w:val="0"/>
      <w:marTop w:val="0"/>
      <w:marBottom w:val="0"/>
      <w:divBdr>
        <w:top w:val="none" w:sz="0" w:space="0" w:color="auto"/>
        <w:left w:val="none" w:sz="0" w:space="0" w:color="auto"/>
        <w:bottom w:val="none" w:sz="0" w:space="0" w:color="auto"/>
        <w:right w:val="none" w:sz="0" w:space="0" w:color="auto"/>
      </w:divBdr>
    </w:div>
    <w:div w:id="1168445189">
      <w:bodyDiv w:val="1"/>
      <w:marLeft w:val="0"/>
      <w:marRight w:val="0"/>
      <w:marTop w:val="0"/>
      <w:marBottom w:val="0"/>
      <w:divBdr>
        <w:top w:val="none" w:sz="0" w:space="0" w:color="auto"/>
        <w:left w:val="none" w:sz="0" w:space="0" w:color="auto"/>
        <w:bottom w:val="none" w:sz="0" w:space="0" w:color="auto"/>
        <w:right w:val="none" w:sz="0" w:space="0" w:color="auto"/>
      </w:divBdr>
    </w:div>
    <w:div w:id="1216769730">
      <w:bodyDiv w:val="1"/>
      <w:marLeft w:val="0"/>
      <w:marRight w:val="0"/>
      <w:marTop w:val="0"/>
      <w:marBottom w:val="0"/>
      <w:divBdr>
        <w:top w:val="none" w:sz="0" w:space="0" w:color="auto"/>
        <w:left w:val="none" w:sz="0" w:space="0" w:color="auto"/>
        <w:bottom w:val="none" w:sz="0" w:space="0" w:color="auto"/>
        <w:right w:val="none" w:sz="0" w:space="0" w:color="auto"/>
      </w:divBdr>
    </w:div>
    <w:div w:id="1338532144">
      <w:bodyDiv w:val="1"/>
      <w:marLeft w:val="0"/>
      <w:marRight w:val="0"/>
      <w:marTop w:val="0"/>
      <w:marBottom w:val="0"/>
      <w:divBdr>
        <w:top w:val="none" w:sz="0" w:space="0" w:color="auto"/>
        <w:left w:val="none" w:sz="0" w:space="0" w:color="auto"/>
        <w:bottom w:val="none" w:sz="0" w:space="0" w:color="auto"/>
        <w:right w:val="none" w:sz="0" w:space="0" w:color="auto"/>
      </w:divBdr>
    </w:div>
    <w:div w:id="1369530776">
      <w:bodyDiv w:val="1"/>
      <w:marLeft w:val="0"/>
      <w:marRight w:val="0"/>
      <w:marTop w:val="0"/>
      <w:marBottom w:val="0"/>
      <w:divBdr>
        <w:top w:val="none" w:sz="0" w:space="0" w:color="auto"/>
        <w:left w:val="none" w:sz="0" w:space="0" w:color="auto"/>
        <w:bottom w:val="none" w:sz="0" w:space="0" w:color="auto"/>
        <w:right w:val="none" w:sz="0" w:space="0" w:color="auto"/>
      </w:divBdr>
    </w:div>
    <w:div w:id="1385831101">
      <w:bodyDiv w:val="1"/>
      <w:marLeft w:val="0"/>
      <w:marRight w:val="0"/>
      <w:marTop w:val="0"/>
      <w:marBottom w:val="0"/>
      <w:divBdr>
        <w:top w:val="none" w:sz="0" w:space="0" w:color="auto"/>
        <w:left w:val="none" w:sz="0" w:space="0" w:color="auto"/>
        <w:bottom w:val="none" w:sz="0" w:space="0" w:color="auto"/>
        <w:right w:val="none" w:sz="0" w:space="0" w:color="auto"/>
      </w:divBdr>
      <w:divsChild>
        <w:div w:id="516970401">
          <w:marLeft w:val="360"/>
          <w:marRight w:val="0"/>
          <w:marTop w:val="200"/>
          <w:marBottom w:val="0"/>
          <w:divBdr>
            <w:top w:val="none" w:sz="0" w:space="0" w:color="auto"/>
            <w:left w:val="none" w:sz="0" w:space="0" w:color="auto"/>
            <w:bottom w:val="none" w:sz="0" w:space="0" w:color="auto"/>
            <w:right w:val="none" w:sz="0" w:space="0" w:color="auto"/>
          </w:divBdr>
        </w:div>
      </w:divsChild>
    </w:div>
    <w:div w:id="1417823430">
      <w:bodyDiv w:val="1"/>
      <w:marLeft w:val="0"/>
      <w:marRight w:val="0"/>
      <w:marTop w:val="0"/>
      <w:marBottom w:val="0"/>
      <w:divBdr>
        <w:top w:val="none" w:sz="0" w:space="0" w:color="auto"/>
        <w:left w:val="none" w:sz="0" w:space="0" w:color="auto"/>
        <w:bottom w:val="none" w:sz="0" w:space="0" w:color="auto"/>
        <w:right w:val="none" w:sz="0" w:space="0" w:color="auto"/>
      </w:divBdr>
    </w:div>
    <w:div w:id="1567034959">
      <w:bodyDiv w:val="1"/>
      <w:marLeft w:val="0"/>
      <w:marRight w:val="0"/>
      <w:marTop w:val="0"/>
      <w:marBottom w:val="0"/>
      <w:divBdr>
        <w:top w:val="none" w:sz="0" w:space="0" w:color="auto"/>
        <w:left w:val="none" w:sz="0" w:space="0" w:color="auto"/>
        <w:bottom w:val="none" w:sz="0" w:space="0" w:color="auto"/>
        <w:right w:val="none" w:sz="0" w:space="0" w:color="auto"/>
      </w:divBdr>
    </w:div>
    <w:div w:id="1725133596">
      <w:bodyDiv w:val="1"/>
      <w:marLeft w:val="0"/>
      <w:marRight w:val="0"/>
      <w:marTop w:val="0"/>
      <w:marBottom w:val="0"/>
      <w:divBdr>
        <w:top w:val="none" w:sz="0" w:space="0" w:color="auto"/>
        <w:left w:val="none" w:sz="0" w:space="0" w:color="auto"/>
        <w:bottom w:val="none" w:sz="0" w:space="0" w:color="auto"/>
        <w:right w:val="none" w:sz="0" w:space="0" w:color="auto"/>
      </w:divBdr>
    </w:div>
    <w:div w:id="1754550898">
      <w:bodyDiv w:val="1"/>
      <w:marLeft w:val="0"/>
      <w:marRight w:val="0"/>
      <w:marTop w:val="0"/>
      <w:marBottom w:val="0"/>
      <w:divBdr>
        <w:top w:val="none" w:sz="0" w:space="0" w:color="auto"/>
        <w:left w:val="none" w:sz="0" w:space="0" w:color="auto"/>
        <w:bottom w:val="none" w:sz="0" w:space="0" w:color="auto"/>
        <w:right w:val="none" w:sz="0" w:space="0" w:color="auto"/>
      </w:divBdr>
    </w:div>
    <w:div w:id="1786462949">
      <w:bodyDiv w:val="1"/>
      <w:marLeft w:val="0"/>
      <w:marRight w:val="0"/>
      <w:marTop w:val="0"/>
      <w:marBottom w:val="0"/>
      <w:divBdr>
        <w:top w:val="none" w:sz="0" w:space="0" w:color="auto"/>
        <w:left w:val="none" w:sz="0" w:space="0" w:color="auto"/>
        <w:bottom w:val="none" w:sz="0" w:space="0" w:color="auto"/>
        <w:right w:val="none" w:sz="0" w:space="0" w:color="auto"/>
      </w:divBdr>
    </w:div>
    <w:div w:id="21164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DD33-9264-4599-9D72-EEDA86B0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dc:creator>
  <cp:lastModifiedBy>Nina Savulescu</cp:lastModifiedBy>
  <cp:revision>3</cp:revision>
  <cp:lastPrinted>2021-08-05T07:05:00Z</cp:lastPrinted>
  <dcterms:created xsi:type="dcterms:W3CDTF">2021-08-05T07:06:00Z</dcterms:created>
  <dcterms:modified xsi:type="dcterms:W3CDTF">2021-08-05T09:22:00Z</dcterms:modified>
</cp:coreProperties>
</file>