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891" w14:textId="2A3E02A2" w:rsidR="00B71E73" w:rsidRPr="002763DD" w:rsidRDefault="00A81701" w:rsidP="00BD128C">
      <w:pPr>
        <w:jc w:val="center"/>
        <w:rPr>
          <w:lang w:val="ro-RO"/>
        </w:rPr>
      </w:pPr>
      <w:r w:rsidRPr="00516687">
        <w:rPr>
          <w:rFonts w:ascii="Trebuchet MS" w:hAnsi="Trebuchet MS"/>
          <w:noProof/>
          <w:color w:val="000000" w:themeColor="text1"/>
        </w:rPr>
        <w:drawing>
          <wp:inline distT="0" distB="0" distL="0" distR="0" wp14:anchorId="27F7C6C3" wp14:editId="6790EC5F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58D13" w14:textId="664A2604" w:rsidR="00374C82" w:rsidRPr="00C11B11" w:rsidRDefault="00C11B11" w:rsidP="00C11B11">
      <w:pPr>
        <w:spacing w:after="0" w:line="36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b/>
          <w:sz w:val="24"/>
          <w:szCs w:val="24"/>
          <w:lang w:val="ro-RO"/>
        </w:rPr>
        <w:t>15</w:t>
      </w:r>
      <w:r w:rsidR="00F01E27" w:rsidRPr="00C11B11">
        <w:rPr>
          <w:rFonts w:ascii="Trebuchet MS" w:hAnsi="Trebuchet MS" w:cs="Times New Roman"/>
          <w:b/>
          <w:sz w:val="24"/>
          <w:szCs w:val="24"/>
          <w:lang w:val="ro-RO"/>
        </w:rPr>
        <w:t xml:space="preserve"> martie </w:t>
      </w:r>
      <w:r w:rsidR="00A3693D" w:rsidRPr="00C11B11">
        <w:rPr>
          <w:rFonts w:ascii="Trebuchet MS" w:hAnsi="Trebuchet MS" w:cs="Times New Roman"/>
          <w:b/>
          <w:sz w:val="24"/>
          <w:szCs w:val="24"/>
          <w:lang w:val="ro-RO"/>
        </w:rPr>
        <w:t>20</w:t>
      </w:r>
      <w:r w:rsidR="00A7526D" w:rsidRPr="00C11B11">
        <w:rPr>
          <w:rFonts w:ascii="Trebuchet MS" w:hAnsi="Trebuchet MS" w:cs="Times New Roman"/>
          <w:b/>
          <w:sz w:val="24"/>
          <w:szCs w:val="24"/>
          <w:lang w:val="ro-RO"/>
        </w:rPr>
        <w:t>2</w:t>
      </w:r>
      <w:r w:rsidR="00A81701" w:rsidRPr="00C11B11">
        <w:rPr>
          <w:rFonts w:ascii="Trebuchet MS" w:hAnsi="Trebuchet MS" w:cs="Times New Roman"/>
          <w:b/>
          <w:sz w:val="24"/>
          <w:szCs w:val="24"/>
          <w:lang w:val="ro-RO"/>
        </w:rPr>
        <w:t>1</w:t>
      </w:r>
    </w:p>
    <w:p w14:paraId="70E1E90B" w14:textId="77777777" w:rsidR="00C04170" w:rsidRPr="00C11B11" w:rsidRDefault="00C04170" w:rsidP="00C11B11">
      <w:pPr>
        <w:spacing w:after="0" w:line="360" w:lineRule="auto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25B62E5A" w14:textId="77777777" w:rsidR="009759BE" w:rsidRPr="00C11B11" w:rsidRDefault="00843083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591D0723" w14:textId="4BC6813E" w:rsidR="000745DC" w:rsidRPr="00C11B11" w:rsidRDefault="00C11B11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APIA eliberează adeverințe pentru beneficiarii </w:t>
      </w:r>
      <w:r w:rsidR="001346E7" w:rsidRPr="00C11B1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C</w:t>
      </w:r>
      <w:r w:rsidR="000745DC" w:rsidRPr="00C11B1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ampaniei </w:t>
      </w:r>
      <w:r w:rsidR="000745DC" w:rsidRPr="00C11B1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202</w:t>
      </w:r>
      <w:r w:rsidR="00A81701" w:rsidRPr="00C11B1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1</w:t>
      </w:r>
    </w:p>
    <w:p w14:paraId="33FD2359" w14:textId="77777777" w:rsidR="00C11B11" w:rsidRDefault="00C11B11" w:rsidP="00C11B1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BA6B595" w14:textId="0A85398A" w:rsidR="00C11B11" w:rsidRPr="00C11B11" w:rsidRDefault="00A81701" w:rsidP="00D735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sz w:val="24"/>
          <w:szCs w:val="24"/>
          <w:lang w:val="ro-RO"/>
        </w:rPr>
        <w:t>Agenţia de Plăţi şi Intervenţie pentru Agricultură (APIA) informează</w:t>
      </w:r>
      <w:r w:rsidRPr="00C11B11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că</w:t>
      </w:r>
      <w:r w:rsidRPr="00C11B11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11B11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a încheiat convenții pentru finanțarea capitalului de lucru cu instituții bancare și nebancare 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>și, începând de astăzi, 15.03.2021,</w:t>
      </w:r>
      <w:r w:rsidR="00C11B11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eliberează adeverințe pentru beneficiarii schemelor de plăți directe 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>(</w:t>
      </w:r>
      <w:r w:rsidR="00C11B11" w:rsidRPr="00C11B11">
        <w:rPr>
          <w:rFonts w:ascii="Trebuchet MS" w:eastAsia="Times New Roman" w:hAnsi="Trebuchet MS" w:cs="Arial"/>
          <w:sz w:val="24"/>
          <w:szCs w:val="24"/>
          <w:u w:val="single"/>
          <w:lang w:val="ro-RO"/>
        </w:rPr>
        <w:t>schema de plată unică pe suprafaţă (SAPS), plata redistributivă, plată pentru practici agricole benefice pentru climă şi mediu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) şi </w:t>
      </w:r>
      <w:r w:rsidR="00C11B11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pentru beneficiarii </w:t>
      </w:r>
      <w:r w:rsidR="00C11B11" w:rsidRPr="00C11B11">
        <w:rPr>
          <w:rFonts w:ascii="Trebuchet MS" w:eastAsia="Times New Roman" w:hAnsi="Trebuchet MS"/>
          <w:b/>
          <w:sz w:val="24"/>
          <w:szCs w:val="24"/>
          <w:lang w:val="ro-RO"/>
        </w:rPr>
        <w:t>măsurilor de mediu şi climă</w:t>
      </w:r>
      <w:r w:rsidR="00C11B11" w:rsidRPr="00C11B11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 (</w:t>
      </w:r>
      <w:r w:rsidR="00C11B11" w:rsidRPr="00C11B11">
        <w:rPr>
          <w:rFonts w:ascii="Trebuchet MS" w:eastAsia="Times New Roman" w:hAnsi="Trebuchet MS"/>
          <w:bCs/>
          <w:sz w:val="24"/>
          <w:szCs w:val="24"/>
          <w:u w:val="single"/>
          <w:lang w:val="ro-RO"/>
        </w:rPr>
        <w:t>Măsura 10 – Agromediu și climă, Măsura 11 – Agricultură ecologică, Măsura 13 Plăți pentru zone care se confruntă cu constrângeri naturale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), </w:t>
      </w:r>
      <w:r w:rsidR="00C11B11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implementate de Agenție în cadrul Campaniei 2021.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</w:p>
    <w:p w14:paraId="45911B1A" w14:textId="77777777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Aceste convenții se adresează fermierilor care intenționează sa acceseze credite în vederea finanțării activităților curente, de la instituțiile bancare și non-bancare care au încheiat convenții cu APIA.</w:t>
      </w:r>
    </w:p>
    <w:p w14:paraId="6AC98597" w14:textId="56EFE239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Astfel, potrivit convențiilor, 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la solicitarea scrisă a fermierului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APIA eliberează o adeverință prin care confirmă că acesta a depus 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C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ererea unică de plată pentru anul 2021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solicitând sprijin pentru schema de plată unică pe suprafață, plata redistributivă, plată pentru practici agricole benefice pentru climă şi mediu și/sau pentru </w:t>
      </w:r>
      <w:r w:rsidRPr="00C11B11">
        <w:rPr>
          <w:rFonts w:ascii="Trebuchet MS" w:eastAsia="Times New Roman" w:hAnsi="Trebuchet MS"/>
          <w:bCs/>
          <w:sz w:val="24"/>
          <w:szCs w:val="24"/>
          <w:lang w:val="ro-RO"/>
        </w:rPr>
        <w:t>măsurile de mediu şi climă – M10, M11, M13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. </w:t>
      </w:r>
    </w:p>
    <w:p w14:paraId="5016E731" w14:textId="6FDDA5F6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De asemenea, prin adeverință se confirmă, la data emiterii acesteia, suprafața determinată la plată pentru schemele de plată care fac obiectul convenției, că s-a efectuat controlul administrativ sau controlul preliminar, sau datele au fost preluate din informațiile existente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n cererea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nchis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 aplica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ia IPA online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i înregistrat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 IACS, după caz, asupra cererii beneficiarului referitor la eligibilitatea schemelor de plată care fac obiectul convenției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că beneficiarul, la data emiterii Adeverinței, nu face obiectul excluderilor de la plată pentru aceste scheme de plată, îndeplinind condițiile generale pentru acordarea sumelor cuvenite, în conformitate cu legislația în vigoare.</w:t>
      </w:r>
    </w:p>
    <w:p w14:paraId="19B02E07" w14:textId="77777777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fr-FR"/>
        </w:rPr>
      </w:pP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fr-FR"/>
        </w:rPr>
        <w:t>Valoarea creditului va fi de până la 90% din valoarea sumei calculate</w:t>
      </w:r>
      <w:r w:rsidRPr="00C11B11">
        <w:rPr>
          <w:rFonts w:ascii="Trebuchet MS" w:eastAsia="Times New Roman" w:hAnsi="Trebuchet MS" w:cs="Arial"/>
          <w:sz w:val="24"/>
          <w:szCs w:val="24"/>
          <w:lang w:val="fr-FR"/>
        </w:rPr>
        <w:t xml:space="preserve"> conform adeverinței eliberate de APIA.</w:t>
      </w:r>
    </w:p>
    <w:p w14:paraId="16E27340" w14:textId="2534B638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fr-FR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fr-FR"/>
        </w:rPr>
        <w:t>Fondul de Garantare a Creditului Rural IFN - SA (FGCR) şi Fondul Naţional de Garantare a Creditului pentru Întreprinderi Mici şi Mijlocii IFN - SA (FNGCIMM) garantează creditele acordate de bănci fermierilor.</w:t>
      </w:r>
    </w:p>
    <w:p w14:paraId="086C1447" w14:textId="025BD8C9" w:rsidR="00C11B11" w:rsidRPr="00C11B11" w:rsidRDefault="00C11B11" w:rsidP="00D73548">
      <w:pPr>
        <w:spacing w:before="240" w:after="0" w:line="240" w:lineRule="auto"/>
        <w:jc w:val="both"/>
        <w:rPr>
          <w:rFonts w:ascii="Trebuchet MS" w:hAnsi="Trebuchet MS" w:cs="Times New Roman"/>
          <w:b/>
          <w:sz w:val="24"/>
          <w:szCs w:val="24"/>
          <w:u w:val="single"/>
          <w:lang w:val="fr-FR"/>
        </w:rPr>
      </w:pPr>
      <w:r w:rsidRPr="00C11B11">
        <w:rPr>
          <w:rFonts w:ascii="Trebuchet MS" w:hAnsi="Trebuchet MS"/>
          <w:sz w:val="24"/>
          <w:szCs w:val="24"/>
          <w:lang w:val="fr-FR"/>
        </w:rPr>
        <w:t>Reamintim fermierilor c</w:t>
      </w:r>
      <w:r>
        <w:rPr>
          <w:rFonts w:ascii="Trebuchet MS" w:hAnsi="Trebuchet MS"/>
          <w:sz w:val="24"/>
          <w:szCs w:val="24"/>
          <w:lang w:val="fr-FR"/>
        </w:rPr>
        <w:t>ă</w:t>
      </w:r>
      <w:r w:rsidRPr="00C11B11">
        <w:rPr>
          <w:rFonts w:ascii="Trebuchet MS" w:hAnsi="Trebuchet MS"/>
          <w:sz w:val="24"/>
          <w:szCs w:val="24"/>
          <w:lang w:val="fr-FR"/>
        </w:rPr>
        <w:t xml:space="preserve"> potrivit </w:t>
      </w:r>
      <w:r w:rsidRPr="00C11B11">
        <w:rPr>
          <w:rFonts w:ascii="Trebuchet MS" w:hAnsi="Trebuchet MS" w:cs="Times New Roman"/>
          <w:sz w:val="24"/>
          <w:szCs w:val="24"/>
          <w:lang w:val="fr-FR"/>
        </w:rPr>
        <w:t xml:space="preserve">Ordinului Ministrului Agriculturii și Dezvoltării Rurale nr. 50/2017 de modificare a Ordinului Ministrului Agriculturii și Dezvoltării Rurale nr.703/2013 pentru aprobarea condițiilor în care se vor încheia convențiile dintre instituțiile financiar-bancare și nebancare și APIA, în vederea finanțării de către acestea a activităților curente ale beneficiarilor plăților derulate de instituția noastră în baza adeverințelor eliberate, dobânda aferentă acordării creditelor va fi de </w:t>
      </w:r>
      <w:r w:rsidRPr="00C11B11">
        <w:rPr>
          <w:rFonts w:ascii="Trebuchet MS" w:hAnsi="Trebuchet MS" w:cs="Times New Roman"/>
          <w:b/>
          <w:sz w:val="24"/>
          <w:szCs w:val="24"/>
          <w:u w:val="single"/>
          <w:lang w:val="fr-FR"/>
        </w:rPr>
        <w:t>RON-ROBOR 6M + maxim 2%</w:t>
      </w:r>
      <w:r w:rsidRPr="00C11B11">
        <w:rPr>
          <w:rFonts w:ascii="Trebuchet MS" w:hAnsi="Trebuchet MS" w:cs="Times New Roman"/>
          <w:bCs/>
          <w:sz w:val="24"/>
          <w:szCs w:val="24"/>
          <w:lang w:val="fr-FR"/>
        </w:rPr>
        <w:t>.</w:t>
      </w:r>
    </w:p>
    <w:p w14:paraId="355299D9" w14:textId="1A864568" w:rsidR="00C11B11" w:rsidRPr="00C11B11" w:rsidRDefault="00C11B11" w:rsidP="00D73548">
      <w:pPr>
        <w:spacing w:before="240"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fr-FR"/>
        </w:rPr>
      </w:pPr>
      <w:r w:rsidRPr="00C11B11">
        <w:rPr>
          <w:rFonts w:ascii="Trebuchet MS" w:hAnsi="Trebuchet MS" w:cs="Times New Roman"/>
          <w:b/>
          <w:sz w:val="24"/>
          <w:szCs w:val="24"/>
          <w:lang w:val="fr-FR"/>
        </w:rPr>
        <w:t xml:space="preserve">În ce privește comisioanele practicate de instituțiile finanțatoare, APIA atrage atenția fermierilor </w:t>
      </w:r>
      <w:r w:rsidRPr="00C11B11">
        <w:rPr>
          <w:rFonts w:ascii="Trebuchet MS" w:hAnsi="Trebuchet MS" w:cs="Times New Roman"/>
          <w:bCs/>
          <w:sz w:val="24"/>
          <w:szCs w:val="24"/>
          <w:lang w:val="fr-FR"/>
        </w:rPr>
        <w:t>care doresc să acceseze credite pentru finanțarea capitalului de lucru în vederea desfășurării activităților curente,</w:t>
      </w:r>
      <w:r w:rsidRPr="00C11B11">
        <w:rPr>
          <w:rFonts w:ascii="Trebuchet MS" w:hAnsi="Trebuchet MS" w:cs="Times New Roman"/>
          <w:b/>
          <w:sz w:val="24"/>
          <w:szCs w:val="24"/>
          <w:lang w:val="fr-FR"/>
        </w:rPr>
        <w:t xml:space="preserve"> să analizeze cu atenție sporită soluțiile de finanțare propuse de instituțiile financiar-bancare și nebancare în ceea ce privește costul acestora, astfel încât să aleagă modalitățile de finanțare care răspund cel mai bine necesităților proprii.</w:t>
      </w:r>
    </w:p>
    <w:p w14:paraId="3CE4DA32" w14:textId="1898567D" w:rsidR="00C11B11" w:rsidRPr="00C11B11" w:rsidRDefault="00C11B11" w:rsidP="00D73548">
      <w:pPr>
        <w:spacing w:before="240" w:after="0" w:line="240" w:lineRule="auto"/>
        <w:jc w:val="both"/>
        <w:rPr>
          <w:rFonts w:ascii="Trebuchet MS" w:hAnsi="Trebuchet MS"/>
          <w:bCs/>
          <w:sz w:val="24"/>
          <w:szCs w:val="24"/>
          <w:lang w:val="fr-FR"/>
        </w:rPr>
      </w:pPr>
      <w:r w:rsidRPr="00C11B11">
        <w:rPr>
          <w:rFonts w:ascii="Trebuchet MS" w:hAnsi="Trebuchet MS"/>
          <w:b/>
          <w:sz w:val="24"/>
          <w:szCs w:val="24"/>
          <w:lang w:val="fr-FR"/>
        </w:rPr>
        <w:t>Toate convențiile</w:t>
      </w:r>
      <w:r w:rsidRPr="00C11B11">
        <w:rPr>
          <w:rFonts w:ascii="Trebuchet MS" w:hAnsi="Trebuchet MS"/>
          <w:sz w:val="24"/>
          <w:szCs w:val="24"/>
          <w:lang w:val="fr-FR"/>
        </w:rPr>
        <w:t xml:space="preserve"> încheiate între APIA, instituțiile bancare și nebancare și FGCR/ FNGCIMM </w:t>
      </w:r>
      <w:r w:rsidRPr="00C11B11">
        <w:rPr>
          <w:rFonts w:ascii="Trebuchet MS" w:hAnsi="Trebuchet MS"/>
          <w:b/>
          <w:sz w:val="24"/>
          <w:szCs w:val="24"/>
          <w:lang w:val="fr-FR"/>
        </w:rPr>
        <w:t>vor fi postate pe site-ul instituției</w:t>
      </w:r>
      <w:r w:rsidRPr="00C11B11">
        <w:rPr>
          <w:rFonts w:ascii="Trebuchet MS" w:hAnsi="Trebuchet MS"/>
          <w:bCs/>
          <w:sz w:val="24"/>
          <w:szCs w:val="24"/>
          <w:lang w:val="fr-FR"/>
        </w:rPr>
        <w:t xml:space="preserve">, la adresa: </w:t>
      </w:r>
      <w:hyperlink r:id="rId5" w:history="1">
        <w:r w:rsidRPr="00C11B11">
          <w:rPr>
            <w:rStyle w:val="Hyperlink"/>
            <w:rFonts w:ascii="Trebuchet MS" w:hAnsi="Trebuchet MS"/>
            <w:b/>
            <w:bCs/>
            <w:color w:val="000000" w:themeColor="text1"/>
            <w:sz w:val="24"/>
            <w:szCs w:val="24"/>
            <w:u w:val="none"/>
            <w:lang w:val="fr-FR"/>
          </w:rPr>
          <w:t>www.apia.org.ro</w:t>
        </w:r>
      </w:hyperlink>
      <w:r w:rsidRPr="00C11B11">
        <w:rPr>
          <w:rFonts w:ascii="Trebuchet MS" w:hAnsi="Trebuchet MS"/>
          <w:bCs/>
          <w:sz w:val="24"/>
          <w:szCs w:val="24"/>
          <w:lang w:val="fr-FR"/>
        </w:rPr>
        <w:t>, în</w:t>
      </w:r>
      <w:r w:rsidRPr="00C11B11">
        <w:rPr>
          <w:rFonts w:ascii="Trebuchet MS" w:hAnsi="Trebuchet MS"/>
          <w:b/>
          <w:sz w:val="24"/>
          <w:szCs w:val="24"/>
          <w:lang w:val="fr-FR"/>
        </w:rPr>
        <w:t xml:space="preserve"> </w:t>
      </w:r>
      <w:r w:rsidRPr="00C11B11">
        <w:rPr>
          <w:rFonts w:ascii="Trebuchet MS" w:hAnsi="Trebuchet MS"/>
          <w:bCs/>
          <w:sz w:val="24"/>
          <w:szCs w:val="24"/>
          <w:lang w:val="fr-FR"/>
        </w:rPr>
        <w:t xml:space="preserve">secțiunea Convenții, Acorduri, Protocoale. </w:t>
      </w:r>
    </w:p>
    <w:p w14:paraId="32938B21" w14:textId="77777777" w:rsidR="00C11B11" w:rsidRPr="00C11B11" w:rsidRDefault="00C11B11" w:rsidP="00D73548">
      <w:pPr>
        <w:spacing w:before="240" w:after="0" w:line="360" w:lineRule="auto"/>
        <w:jc w:val="both"/>
        <w:rPr>
          <w:rFonts w:ascii="Trebuchet MS" w:eastAsia="Times New Roman" w:hAnsi="Trebuchet MS" w:cs="Arial"/>
          <w:sz w:val="24"/>
          <w:szCs w:val="24"/>
          <w:lang w:val="fr-FR"/>
        </w:rPr>
      </w:pPr>
    </w:p>
    <w:p w14:paraId="24A0E66A" w14:textId="77777777" w:rsidR="00247A3C" w:rsidRPr="00C11B11" w:rsidRDefault="00247A3C" w:rsidP="00D73548">
      <w:pPr>
        <w:spacing w:before="120" w:after="0" w:line="36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sectPr w:rsidR="00247A3C" w:rsidRPr="00C11B11" w:rsidSect="00D73548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745DC"/>
    <w:rsid w:val="000874BE"/>
    <w:rsid w:val="00091F9F"/>
    <w:rsid w:val="00095B06"/>
    <w:rsid w:val="000A0AD8"/>
    <w:rsid w:val="000B5AE8"/>
    <w:rsid w:val="000B631F"/>
    <w:rsid w:val="000F4AA7"/>
    <w:rsid w:val="00101F53"/>
    <w:rsid w:val="001346E7"/>
    <w:rsid w:val="001458BE"/>
    <w:rsid w:val="001959E8"/>
    <w:rsid w:val="001B7FB2"/>
    <w:rsid w:val="00226EBB"/>
    <w:rsid w:val="00247A3C"/>
    <w:rsid w:val="002524B0"/>
    <w:rsid w:val="002763DD"/>
    <w:rsid w:val="002935C0"/>
    <w:rsid w:val="003027B1"/>
    <w:rsid w:val="0031632E"/>
    <w:rsid w:val="0035519C"/>
    <w:rsid w:val="00374C82"/>
    <w:rsid w:val="003A3DDD"/>
    <w:rsid w:val="003E7A9A"/>
    <w:rsid w:val="004060F1"/>
    <w:rsid w:val="00432E13"/>
    <w:rsid w:val="004C2937"/>
    <w:rsid w:val="00501F3C"/>
    <w:rsid w:val="00595B08"/>
    <w:rsid w:val="005D4B9E"/>
    <w:rsid w:val="005F4B61"/>
    <w:rsid w:val="006424CC"/>
    <w:rsid w:val="0065286C"/>
    <w:rsid w:val="006529D2"/>
    <w:rsid w:val="00667AA5"/>
    <w:rsid w:val="00693C04"/>
    <w:rsid w:val="006A33E3"/>
    <w:rsid w:val="006B512C"/>
    <w:rsid w:val="006E69B7"/>
    <w:rsid w:val="00703CDB"/>
    <w:rsid w:val="00734125"/>
    <w:rsid w:val="007C6BF9"/>
    <w:rsid w:val="007F1712"/>
    <w:rsid w:val="00822660"/>
    <w:rsid w:val="00842F9E"/>
    <w:rsid w:val="00843083"/>
    <w:rsid w:val="0087283C"/>
    <w:rsid w:val="00895973"/>
    <w:rsid w:val="008A0881"/>
    <w:rsid w:val="008C1380"/>
    <w:rsid w:val="008E6559"/>
    <w:rsid w:val="008F78A4"/>
    <w:rsid w:val="0093538E"/>
    <w:rsid w:val="00957238"/>
    <w:rsid w:val="009759BE"/>
    <w:rsid w:val="00982840"/>
    <w:rsid w:val="009F63CB"/>
    <w:rsid w:val="00A3693D"/>
    <w:rsid w:val="00A563FD"/>
    <w:rsid w:val="00A7526D"/>
    <w:rsid w:val="00A81701"/>
    <w:rsid w:val="00AA3393"/>
    <w:rsid w:val="00AF0E63"/>
    <w:rsid w:val="00B27C1A"/>
    <w:rsid w:val="00B57412"/>
    <w:rsid w:val="00B6539F"/>
    <w:rsid w:val="00B71E73"/>
    <w:rsid w:val="00B85F72"/>
    <w:rsid w:val="00BA2FDC"/>
    <w:rsid w:val="00BA63EB"/>
    <w:rsid w:val="00BD128C"/>
    <w:rsid w:val="00C04170"/>
    <w:rsid w:val="00C10BAD"/>
    <w:rsid w:val="00C11B11"/>
    <w:rsid w:val="00C31E6C"/>
    <w:rsid w:val="00C3595F"/>
    <w:rsid w:val="00CB45C1"/>
    <w:rsid w:val="00D5414D"/>
    <w:rsid w:val="00D73548"/>
    <w:rsid w:val="00DA1E39"/>
    <w:rsid w:val="00DA5234"/>
    <w:rsid w:val="00E01F63"/>
    <w:rsid w:val="00F01E27"/>
    <w:rsid w:val="00F15790"/>
    <w:rsid w:val="00FA7E3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B9FD7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styleId="UnresolvedMention">
    <w:name w:val="Unresolved Mention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ia.org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Gina Darjanschi</cp:lastModifiedBy>
  <cp:revision>5</cp:revision>
  <cp:lastPrinted>2021-03-02T06:35:00Z</cp:lastPrinted>
  <dcterms:created xsi:type="dcterms:W3CDTF">2021-03-15T07:01:00Z</dcterms:created>
  <dcterms:modified xsi:type="dcterms:W3CDTF">2021-03-15T07:10:00Z</dcterms:modified>
</cp:coreProperties>
</file>